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ind w:left="660"/>
        <w:spacing w:line="360" w:lineRule="auto"/>
        <w:rPr>
          <w:rFonts w:ascii="Arial" w:hAnsi="Arial"/>
          <w:bCs/>
          <w:color w:val="000000"/>
          <w:sz w:val="30"/>
          <w:highlight w:val="none"/>
        </w:rPr>
      </w:pPr>
      <w:r>
        <w:rPr>
          <w:rFonts w:ascii="Arial" w:hAnsi="Arial"/>
          <w:bCs/>
          <w:color w:val="000000"/>
          <w:sz w:val="30"/>
          <w:highlight w:val="none"/>
        </w:rPr>
      </w:r>
      <w:r/>
    </w:p>
    <w:p>
      <w:pPr>
        <w:pStyle w:val="730"/>
        <w:ind w:left="660"/>
        <w:spacing w:line="360" w:lineRule="auto"/>
        <w:rPr>
          <w:rFonts w:ascii="Arial" w:hAnsi="Arial"/>
          <w:bCs/>
          <w:color w:val="000000"/>
          <w:sz w:val="30"/>
          <w:highlight w:val="none"/>
        </w:rPr>
      </w:pPr>
      <w:r>
        <w:rPr>
          <w:rFonts w:ascii="Arial" w:hAnsi="Arial"/>
          <w:bCs/>
          <w:color w:val="000000"/>
          <w:sz w:val="30"/>
          <w:highlight w:val="none"/>
        </w:rPr>
      </w:r>
      <w:r/>
    </w:p>
    <w:p>
      <w:pPr>
        <w:pStyle w:val="730"/>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w:t>
      </w:r>
      <w:r>
        <w:rPr>
          <w:rFonts w:hint="eastAsia" w:ascii="宋体" w:hAnsi="宋体" w:eastAsia="宋体" w:cs="宋体"/>
          <w:b/>
          <w:color w:val="000000"/>
          <w:sz w:val="52"/>
          <w:szCs w:val="52"/>
          <w:highlight w:val="none"/>
          <w:lang w:val="en-US" w:eastAsia="zh-CN"/>
        </w:rPr>
        <w:t xml:space="preserve">梁溪区</w:t>
      </w:r>
      <w:r>
        <w:rPr>
          <w:rFonts w:hint="eastAsia" w:ascii="宋体" w:hAnsi="宋体" w:eastAsia="宋体" w:cs="宋体"/>
          <w:b/>
          <w:color w:val="000000"/>
          <w:sz w:val="52"/>
          <w:szCs w:val="52"/>
          <w:highlight w:val="none"/>
        </w:rPr>
        <w:t xml:space="preserve">政府采购项目</w:t>
      </w:r>
      <w:r>
        <w:rPr>
          <w:rFonts w:ascii="宋体" w:hAnsi="宋体" w:eastAsia="宋体" w:cs="宋体"/>
          <w:b/>
          <w:color w:val="000000"/>
          <w:sz w:val="52"/>
          <w:szCs w:val="52"/>
          <w:highlight w:val="none"/>
        </w:rPr>
      </w:r>
      <w:r/>
    </w:p>
    <w:p>
      <w:pPr>
        <w:pStyle w:val="730"/>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rPr>
          <w:rFonts w:ascii="Arial" w:hAnsi="Arial"/>
          <w:b/>
          <w:bCs/>
          <w:color w:val="000000"/>
          <w:sz w:val="30"/>
          <w:highlight w:val="none"/>
        </w:rPr>
      </w:r>
      <w:r/>
    </w:p>
    <w:p>
      <w:pPr>
        <w:pStyle w:val="730"/>
        <w:spacing w:line="360" w:lineRule="auto"/>
        <w:rPr>
          <w:rFonts w:ascii="Arial" w:hAnsi="Arial"/>
          <w:b/>
          <w:bCs/>
          <w:color w:val="000000"/>
          <w:sz w:val="30"/>
          <w:highlight w:val="none"/>
        </w:rPr>
      </w:pPr>
      <w:r>
        <w:rPr>
          <w:rFonts w:ascii="Arial" w:hAnsi="Arial"/>
          <w:b/>
          <w:bCs/>
          <w:color w:val="000000"/>
          <w:sz w:val="30"/>
          <w:highlight w:val="none"/>
        </w:rPr>
      </w:r>
      <w:r/>
    </w:p>
    <w:p>
      <w:pPr>
        <w:pStyle w:val="730"/>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000000"/>
          <w:spacing w:val="20"/>
          <w:sz w:val="52"/>
          <w:szCs w:val="52"/>
          <w:highlight w:val="none"/>
        </w:rPr>
        <w:t xml:space="preserve">招标文件</w:t>
      </w:r>
      <w:r>
        <w:rPr>
          <w:rFonts w:ascii="Arial" w:hAnsi="Arial"/>
          <w:b/>
          <w:bCs/>
          <w:color w:val="000000"/>
          <w:spacing w:val="20"/>
          <w:sz w:val="52"/>
          <w:szCs w:val="52"/>
          <w:highlight w:val="none"/>
        </w:rPr>
      </w:r>
      <w:r/>
    </w:p>
    <w:p>
      <w:pPr>
        <w:pStyle w:val="730"/>
        <w:jc w:val="center"/>
        <w:spacing w:line="360" w:lineRule="auto"/>
        <w:rPr>
          <w:rFonts w:ascii="Arial" w:hAnsi="Arial"/>
          <w:b/>
          <w:bCs/>
          <w:color w:val="000000"/>
          <w:sz w:val="30"/>
          <w:highlight w:val="none"/>
          <w:lang w:val="en-US" w:eastAsia="zh-CN"/>
        </w:rPr>
      </w:pPr>
      <w:r>
        <w:rPr>
          <w:rFonts w:hint="eastAsia" w:ascii="Arial" w:hAnsi="Arial"/>
          <w:b/>
          <w:bCs/>
          <w:color w:val="000000"/>
          <w:sz w:val="30"/>
          <w:highlight w:val="none"/>
          <w:lang w:eastAsia="zh-CN"/>
        </w:rPr>
        <w:t xml:space="preserve">（</w:t>
      </w:r>
      <w:r>
        <w:rPr>
          <w:rFonts w:hint="eastAsia" w:ascii="Arial" w:hAnsi="Arial"/>
          <w:b/>
          <w:bCs/>
          <w:color w:val="000000"/>
          <w:sz w:val="30"/>
          <w:highlight w:val="none"/>
          <w:lang w:val="en-US" w:eastAsia="zh-CN"/>
        </w:rPr>
        <w:t xml:space="preserve">暗标）</w:t>
      </w:r>
      <w:r>
        <w:rPr>
          <w:rFonts w:ascii="Arial" w:hAnsi="Arial"/>
          <w:b/>
          <w:bCs/>
          <w:color w:val="000000"/>
          <w:sz w:val="30"/>
          <w:highlight w:val="none"/>
          <w:lang w:val="en-US" w:eastAsia="zh-CN"/>
        </w:rPr>
      </w:r>
      <w:r/>
    </w:p>
    <w:p>
      <w:pPr>
        <w:pStyle w:val="730"/>
        <w:spacing w:line="360" w:lineRule="auto"/>
        <w:rPr>
          <w:rFonts w:ascii="Arial" w:hAnsi="Arial"/>
          <w:b/>
          <w:bCs/>
          <w:color w:val="000000"/>
          <w:sz w:val="30"/>
          <w:highlight w:val="none"/>
        </w:rPr>
      </w:pPr>
      <w:r>
        <w:rPr>
          <w:rFonts w:ascii="Arial" w:hAnsi="Arial"/>
          <w:b/>
          <w:bCs/>
          <w:color w:val="000000"/>
          <w:sz w:val="30"/>
          <w:highlight w:val="none"/>
        </w:rPr>
      </w:r>
      <w:r/>
    </w:p>
    <w:p>
      <w:pPr>
        <w:pStyle w:val="730"/>
        <w:spacing w:line="360" w:lineRule="auto"/>
        <w:rPr>
          <w:rFonts w:ascii="Arial" w:hAnsi="Arial"/>
          <w:b/>
          <w:bCs/>
          <w:color w:val="000000"/>
          <w:sz w:val="30"/>
          <w:highlight w:val="none"/>
        </w:rPr>
      </w:pPr>
      <w:r>
        <w:rPr>
          <w:rFonts w:ascii="Arial" w:hAnsi="Arial"/>
          <w:b/>
          <w:bCs/>
          <w:color w:val="000000"/>
          <w:sz w:val="30"/>
          <w:highlight w:val="none"/>
        </w:rPr>
      </w:r>
      <w:r/>
    </w:p>
    <w:p>
      <w:pPr>
        <w:pStyle w:val="730"/>
        <w:spacing w:line="360" w:lineRule="auto"/>
        <w:rPr>
          <w:rFonts w:ascii="Arial" w:hAnsi="Arial"/>
          <w:b/>
          <w:bCs/>
          <w:color w:val="000000"/>
          <w:sz w:val="30"/>
          <w:highlight w:val="none"/>
        </w:rPr>
      </w:pPr>
      <w:r>
        <w:rPr>
          <w:rFonts w:ascii="Arial" w:hAnsi="Arial"/>
          <w:b/>
          <w:bCs/>
          <w:color w:val="000000"/>
          <w:sz w:val="30"/>
          <w:highlight w:val="none"/>
        </w:rPr>
      </w:r>
      <w:r/>
    </w:p>
    <w:p>
      <w:pPr>
        <w:pStyle w:val="730"/>
        <w:spacing w:line="360" w:lineRule="auto"/>
        <w:rPr>
          <w:rFonts w:ascii="Arial" w:hAnsi="Arial"/>
          <w:b/>
          <w:bCs/>
          <w:color w:val="000000"/>
          <w:sz w:val="30"/>
          <w:highlight w:val="none"/>
        </w:rPr>
      </w:pPr>
      <w:r>
        <w:rPr>
          <w:rFonts w:ascii="Arial" w:hAnsi="Arial"/>
          <w:b/>
          <w:bCs/>
          <w:color w:val="000000"/>
          <w:sz w:val="30"/>
          <w:highlight w:val="none"/>
        </w:rPr>
      </w:r>
      <w:r/>
    </w:p>
    <w:p>
      <w:pPr>
        <w:pStyle w:val="730"/>
        <w:ind w:firstLine="1500"/>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lang w:eastAsia="zh-CN"/>
        </w:rPr>
        <w:t xml:space="preserve">JSZC-320213-PXGJ-G2026-0009</w:t>
      </w:r>
      <w:r>
        <w:rPr>
          <w:rFonts w:hint="eastAsia" w:ascii="Arial" w:hAnsi="Arial" w:eastAsia="宋体"/>
          <w:bCs/>
          <w:color w:val="000000"/>
          <w:sz w:val="30"/>
          <w:szCs w:val="30"/>
          <w:highlight w:val="none"/>
          <w:lang w:eastAsia="zh-CN"/>
        </w:rPr>
      </w:r>
      <w:r/>
    </w:p>
    <w:p>
      <w:pPr>
        <w:pStyle w:val="730"/>
        <w:ind w:firstLine="1500"/>
        <w:spacing w:line="360" w:lineRule="auto"/>
        <w:rPr>
          <w:rFonts w:hint="eastAsia" w:ascii="宋体" w:hAnsi="宋体" w:eastAsia="宋体" w:cs="宋体"/>
          <w:bCs/>
          <w:color w:val="000000"/>
          <w:sz w:val="30"/>
          <w:szCs w:val="30"/>
          <w:highlight w:val="none"/>
          <w:lang w:eastAsia="zh-CN"/>
        </w:rPr>
      </w:pPr>
      <w:r>
        <w:rPr>
          <w:rFonts w:hint="eastAsia" w:ascii="Arial" w:hAnsi="Arial"/>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中药饮片、集中代加工及配送服务</w:t>
      </w:r>
      <w:r>
        <w:rPr>
          <w:rFonts w:hint="eastAsia" w:ascii="宋体" w:hAnsi="宋体" w:eastAsia="宋体" w:cs="宋体"/>
          <w:bCs/>
          <w:color w:val="000000"/>
          <w:sz w:val="30"/>
          <w:szCs w:val="30"/>
          <w:highlight w:val="none"/>
          <w:lang w:eastAsia="zh-CN"/>
        </w:rPr>
      </w:r>
      <w:r/>
    </w:p>
    <w:p>
      <w:pPr>
        <w:pStyle w:val="730"/>
        <w:ind w:firstLine="15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无锡市梁溪区黄巷街道社区卫生服务中心</w:t>
      </w:r>
      <w:r>
        <w:rPr>
          <w:rFonts w:hint="eastAsia" w:ascii="宋体" w:hAnsi="宋体" w:eastAsia="宋体" w:cs="宋体"/>
          <w:bCs/>
          <w:color w:val="000000"/>
          <w:sz w:val="30"/>
          <w:szCs w:val="30"/>
          <w:highlight w:val="none"/>
          <w:lang w:eastAsia="zh-CN"/>
        </w:rPr>
      </w:r>
      <w:r/>
    </w:p>
    <w:p>
      <w:pPr>
        <w:pStyle w:val="730"/>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rPr>
          <w:rFonts w:ascii="Arial" w:hAnsi="Arial" w:eastAsia="宋体"/>
          <w:bCs/>
          <w:color w:val="000000"/>
          <w:sz w:val="30"/>
          <w:szCs w:val="30"/>
          <w:highlight w:val="none"/>
        </w:rPr>
      </w:r>
      <w:r/>
    </w:p>
    <w:p>
      <w:pPr>
        <w:pStyle w:val="730"/>
        <w:spacing w:line="360" w:lineRule="auto"/>
        <w:rPr>
          <w:rFonts w:ascii="Arial" w:hAnsi="Arial"/>
          <w:bCs/>
          <w:color w:val="000000"/>
          <w:sz w:val="32"/>
          <w:highlight w:val="none"/>
        </w:rPr>
      </w:pPr>
      <w:r>
        <w:rPr>
          <w:rFonts w:ascii="Arial" w:hAnsi="Arial"/>
          <w:bCs/>
          <w:color w:val="000000"/>
          <w:sz w:val="32"/>
          <w:highlight w:val="none"/>
        </w:rPr>
      </w:r>
      <w:r/>
    </w:p>
    <w:p>
      <w:pPr>
        <w:pStyle w:val="730"/>
        <w:spacing w:line="360" w:lineRule="auto"/>
        <w:rPr>
          <w:rFonts w:ascii="Arial" w:hAnsi="Arial"/>
          <w:bCs/>
          <w:color w:val="000000"/>
          <w:sz w:val="30"/>
          <w:highlight w:val="none"/>
        </w:rPr>
      </w:pPr>
      <w:r>
        <w:rPr>
          <w:rFonts w:ascii="Arial" w:hAnsi="Arial"/>
          <w:bCs/>
          <w:color w:val="000000"/>
          <w:sz w:val="30"/>
          <w:highlight w:val="none"/>
        </w:rPr>
      </w:r>
      <w:r/>
    </w:p>
    <w:p>
      <w:pPr>
        <w:pStyle w:val="730"/>
        <w:spacing w:line="360" w:lineRule="auto"/>
        <w:rPr>
          <w:rFonts w:ascii="Arial" w:hAnsi="Arial"/>
          <w:bCs/>
          <w:color w:val="000000"/>
          <w:sz w:val="30"/>
          <w:highlight w:val="none"/>
        </w:rPr>
      </w:pPr>
      <w:r>
        <w:rPr>
          <w:rFonts w:ascii="Arial" w:hAnsi="Arial"/>
          <w:bCs/>
          <w:color w:val="000000"/>
          <w:sz w:val="30"/>
          <w:highlight w:val="none"/>
        </w:rPr>
      </w:r>
      <w:r/>
    </w:p>
    <w:p>
      <w:pPr>
        <w:pStyle w:val="730"/>
        <w:spacing w:line="360" w:lineRule="auto"/>
        <w:rPr>
          <w:rFonts w:ascii="Arial" w:hAnsi="Arial"/>
          <w:bCs/>
          <w:color w:val="000000"/>
          <w:sz w:val="30"/>
          <w:highlight w:val="none"/>
        </w:rPr>
      </w:pPr>
      <w:r>
        <w:rPr>
          <w:rFonts w:ascii="Arial" w:hAnsi="Arial"/>
          <w:bCs/>
          <w:color w:val="000000"/>
          <w:sz w:val="30"/>
          <w:highlight w:val="none"/>
        </w:rPr>
      </w:r>
      <w:r/>
    </w:p>
    <w:p>
      <w:pPr>
        <w:pStyle w:val="730"/>
        <w:spacing w:line="360" w:lineRule="auto"/>
        <w:rPr>
          <w:rFonts w:ascii="Arial" w:hAnsi="Arial"/>
          <w:bCs/>
          <w:color w:val="000000"/>
          <w:sz w:val="30"/>
          <w:highlight w:val="none"/>
        </w:rPr>
      </w:pPr>
      <w:r>
        <w:rPr>
          <w:rFonts w:ascii="Arial" w:hAnsi="Arial"/>
          <w:bCs/>
          <w:color w:val="000000"/>
          <w:sz w:val="30"/>
          <w:highlight w:val="none"/>
        </w:rPr>
      </w:r>
      <w:r/>
    </w:p>
    <w:p>
      <w:pPr>
        <w:pStyle w:val="730"/>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三</w:t>
      </w:r>
      <w:r>
        <w:rPr>
          <w:rFonts w:hint="eastAsia" w:ascii="宋体" w:hAnsi="宋体" w:eastAsia="宋体" w:cs="宋体"/>
          <w:bCs/>
          <w:color w:val="000000"/>
          <w:sz w:val="44"/>
          <w:szCs w:val="44"/>
          <w:highlight w:val="none"/>
        </w:rPr>
        <w:t xml:space="preserve">月</w:t>
      </w:r>
      <w:r>
        <w:rPr>
          <w:rFonts w:ascii="宋体" w:hAnsi="宋体" w:eastAsia="宋体" w:cs="宋体"/>
          <w:bCs/>
          <w:color w:val="000000"/>
          <w:sz w:val="44"/>
          <w:szCs w:val="44"/>
          <w:highlight w:val="none"/>
        </w:rPr>
      </w:r>
      <w:r/>
    </w:p>
    <w:p>
      <w:pPr>
        <w:pStyle w:val="730"/>
        <w:spacing w:line="360" w:lineRule="auto"/>
        <w:rPr>
          <w:rStyle w:val="855"/>
          <w:rFonts w:ascii="Arial" w:hAnsi="Arial"/>
          <w:bCs/>
          <w:color w:val="000000"/>
          <w:sz w:val="48"/>
          <w:highlight w:val="none"/>
        </w:rPr>
      </w:pPr>
      <w:r>
        <w:rPr>
          <w:rStyle w:val="855"/>
          <w:rFonts w:ascii="Arial" w:hAnsi="Arial"/>
          <w:bCs/>
          <w:color w:val="000000"/>
          <w:sz w:val="48"/>
          <w:highlight w:val="none"/>
        </w:rPr>
      </w:r>
      <w:r/>
    </w:p>
    <w:p>
      <w:pPr>
        <w:pStyle w:val="730"/>
        <w:jc w:val="center"/>
        <w:spacing w:line="360" w:lineRule="auto"/>
        <w:rPr>
          <w:rStyle w:val="855"/>
          <w:rFonts w:ascii="Arial" w:hAnsi="Arial"/>
          <w:bCs/>
          <w:color w:val="000000"/>
          <w:sz w:val="48"/>
          <w:highlight w:val="none"/>
          <w:u w:val="none"/>
        </w:rPr>
      </w:pPr>
      <w:r>
        <w:rPr>
          <w:rStyle w:val="855"/>
          <w:rFonts w:ascii="Arial" w:hAnsi="Arial"/>
          <w:bCs/>
          <w:color w:val="000000"/>
          <w:sz w:val="48"/>
          <w:highlight w:val="none"/>
          <w:u w:val="none"/>
        </w:rPr>
      </w:r>
      <w:r/>
    </w:p>
    <w:p>
      <w:pPr>
        <w:pStyle w:val="730"/>
        <w:jc w:val="center"/>
        <w:spacing w:line="360" w:lineRule="auto"/>
        <w:rPr>
          <w:rStyle w:val="855"/>
          <w:rFonts w:ascii="Arial" w:hAnsi="Arial"/>
          <w:bCs/>
          <w:color w:val="000000"/>
          <w:sz w:val="48"/>
          <w:highlight w:val="none"/>
          <w:u w:val="none"/>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Style w:val="855"/>
          <w:rFonts w:ascii="Arial" w:hAnsi="Arial"/>
          <w:bCs/>
          <w:color w:val="000000"/>
          <w:sz w:val="48"/>
          <w:highlight w:val="none"/>
          <w:u w:val="none"/>
        </w:rPr>
      </w:r>
      <w:r/>
    </w:p>
    <w:p>
      <w:pPr>
        <w:pStyle w:val="1167"/>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730"/>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rPr>
          <w:rFonts w:ascii="宋体" w:hAnsi="宋体"/>
          <w:color w:val="000000"/>
          <w:sz w:val="30"/>
          <w:szCs w:val="30"/>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30"/>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730"/>
        <w:rPr>
          <w:rFonts w:ascii="Arial" w:hAnsi="Arial"/>
          <w:b/>
          <w:bCs/>
          <w:color w:val="000000"/>
          <w:sz w:val="28"/>
          <w:szCs w:val="28"/>
          <w:highlight w:val="none"/>
        </w:rPr>
      </w:pPr>
      <w:r>
        <w:rPr>
          <w:rFonts w:ascii="Arial" w:hAnsi="Arial"/>
          <w:b/>
          <w:bCs/>
          <w:color w:val="000000"/>
          <w:sz w:val="28"/>
          <w:szCs w:val="28"/>
          <w:highlight w:val="none"/>
        </w:rPr>
      </w:r>
      <w:r/>
    </w:p>
    <w:p>
      <w:pPr>
        <w:pStyle w:val="730"/>
        <w:rPr>
          <w:rFonts w:ascii="黑体" w:hAnsi="黑体" w:eastAsia="黑体" w:cs="黑体"/>
          <w:color w:val="000000"/>
          <w:sz w:val="36"/>
          <w:szCs w:val="36"/>
          <w:highlight w:val="none"/>
        </w:rPr>
      </w:pPr>
      <w:r>
        <w:rPr>
          <w:rFonts w:hint="eastAsia" w:ascii="黑体" w:hAnsi="黑体" w:eastAsia="黑体" w:cs="黑体"/>
          <w:color w:val="000000"/>
          <w:sz w:val="36"/>
          <w:szCs w:val="36"/>
          <w:highlight w:val="none"/>
        </w:rPr>
        <w:br w:type="page" w:clear="all"/>
      </w:r>
      <w:r>
        <w:rPr>
          <w:rFonts w:ascii="黑体" w:hAnsi="黑体" w:eastAsia="黑体" w:cs="黑体"/>
          <w:color w:val="000000"/>
          <w:sz w:val="36"/>
          <w:szCs w:val="36"/>
          <w:highlight w:val="none"/>
        </w:rPr>
      </w:r>
      <w:r/>
    </w:p>
    <w:p>
      <w:pPr>
        <w:pStyle w:val="730"/>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rPr>
          <w:rFonts w:ascii="Arial" w:hAnsi="Arial"/>
          <w:b/>
          <w:bCs/>
          <w:color w:val="000000"/>
          <w:sz w:val="28"/>
          <w:szCs w:val="28"/>
          <w:highlight w:val="none"/>
        </w:rPr>
      </w:r>
      <w:r/>
    </w:p>
    <w:p>
      <w:pPr>
        <w:pStyle w:val="730"/>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eastAsia="宋体"/>
          <w:bCs/>
          <w:color w:val="000000"/>
          <w:sz w:val="24"/>
          <w:szCs w:val="24"/>
          <w:highlight w:val="none"/>
          <w:u w:val="single"/>
          <w:lang w:eastAsia="zh-CN"/>
        </w:rPr>
        <w:t xml:space="preserve">无锡市梁溪区黄巷街道社区卫生服务中心</w:t>
      </w:r>
      <w:r>
        <w:rPr>
          <w:rFonts w:hint="eastAsia" w:ascii="Arial" w:hAnsi="Arial"/>
          <w:bCs/>
          <w:color w:val="000000"/>
          <w:sz w:val="24"/>
          <w:szCs w:val="24"/>
          <w:highlight w:val="none"/>
        </w:rPr>
        <w:t xml:space="preserve">的委托，对</w:t>
      </w:r>
      <w:r>
        <w:rPr>
          <w:rFonts w:hint="eastAsia" w:ascii="宋体" w:hAnsi="宋体" w:eastAsia="宋体" w:cs="宋体"/>
          <w:bCs/>
          <w:color w:val="000000"/>
          <w:sz w:val="24"/>
          <w:szCs w:val="24"/>
          <w:highlight w:val="none"/>
          <w:u w:val="single"/>
          <w:lang w:eastAsia="zh-CN"/>
        </w:rPr>
        <w:t xml:space="preserve">中药饮片、集中代加工及配送服务</w:t>
      </w:r>
      <w:r>
        <w:rPr>
          <w:rFonts w:hint="eastAsia" w:ascii="Arial" w:hAnsi="Arial"/>
          <w:bCs/>
          <w:color w:val="000000"/>
          <w:sz w:val="24"/>
          <w:szCs w:val="24"/>
          <w:highlight w:val="none"/>
        </w:rPr>
        <w:t xml:space="preserve">进行公开招标采购，欢迎符合相关条件的供应商参加投标。</w:t>
      </w:r>
      <w:r>
        <w:rPr>
          <w:rFonts w:ascii="Arial" w:hAnsi="Arial"/>
          <w:bCs/>
          <w:color w:val="000000"/>
          <w:sz w:val="24"/>
          <w:szCs w:val="24"/>
          <w:highlight w:val="none"/>
        </w:rPr>
      </w:r>
      <w:r/>
    </w:p>
    <w:p>
      <w:pPr>
        <w:pStyle w:val="730"/>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730"/>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sz w:val="24"/>
          <w:szCs w:val="24"/>
          <w:highlight w:val="none"/>
          <w:u w:val="single"/>
          <w:lang w:eastAsia="zh-CN"/>
        </w:rPr>
        <w:t xml:space="preserve">中药饮片、集中代加工及配送服务</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24</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730"/>
        <w:ind w:firstLine="241"/>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color w:val="000000"/>
          <w:sz w:val="24"/>
          <w:szCs w:val="24"/>
          <w:highlight w:val="none"/>
        </w:rPr>
        <w:t xml:space="preserve">招标项目信息</w:t>
      </w:r>
      <w:r>
        <w:rPr>
          <w:rFonts w:ascii="宋体" w:hAnsi="宋体" w:eastAsia="宋体" w:cs="宋体"/>
          <w:b/>
          <w:bCs/>
          <w:color w:val="000000"/>
          <w:sz w:val="24"/>
          <w:szCs w:val="24"/>
          <w:highlight w:val="none"/>
        </w:rPr>
      </w:r>
      <w:r/>
    </w:p>
    <w:p>
      <w:pPr>
        <w:pStyle w:val="730"/>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中药饮片、集中代加工及配送服务</w:t>
      </w:r>
      <w:r>
        <w:rPr>
          <w:rFonts w:hint="eastAsia" w:ascii="宋体" w:hAnsi="宋体" w:eastAsia="宋体" w:cs="宋体"/>
          <w:color w:val="000000"/>
          <w:sz w:val="24"/>
          <w:szCs w:val="24"/>
          <w:highlight w:val="none"/>
          <w:lang w:eastAsia="zh-CN"/>
        </w:rPr>
      </w:r>
      <w:r/>
    </w:p>
    <w:p>
      <w:pPr>
        <w:pStyle w:val="730"/>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JSZC-320213-PXGJ-G2026-0009</w:t>
      </w:r>
      <w:r>
        <w:rPr>
          <w:rFonts w:hint="eastAsia" w:ascii="宋体" w:hAnsi="宋体" w:eastAsia="宋体" w:cs="宋体"/>
          <w:color w:val="000000"/>
          <w:sz w:val="24"/>
          <w:szCs w:val="24"/>
          <w:highlight w:val="none"/>
          <w:lang w:eastAsia="zh-CN"/>
        </w:rPr>
      </w:r>
      <w:r/>
    </w:p>
    <w:p>
      <w:pPr>
        <w:pStyle w:val="730"/>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val="en-US" w:eastAsia="zh-CN"/>
        </w:rPr>
        <w:t xml:space="preserve">600万元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0"/>
        <w:ind w:firstLine="480"/>
        <w:jc w:val="left"/>
        <w:spacing w:line="360"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val="en-US" w:eastAsia="zh-CN"/>
        </w:rPr>
        <w:t xml:space="preserve">530.871万元，最高</w:t>
      </w:r>
      <w:r>
        <w:rPr>
          <w:rFonts w:hint="eastAsia" w:ascii="宋体" w:hAnsi="宋体" w:eastAsia="宋体" w:cs="宋体"/>
          <w:color w:val="000000"/>
          <w:sz w:val="24"/>
          <w:szCs w:val="24"/>
          <w:highlight w:val="none"/>
        </w:rPr>
        <w:t xml:space="preserve">折扣率</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%（本项目涉及的折扣率=1-优惠率）</w:t>
      </w:r>
      <w:r>
        <w:rPr>
          <w:rFonts w:hint="eastAsia" w:ascii="宋体" w:hAnsi="宋体" w:eastAsia="宋体" w:cs="宋体"/>
          <w:b/>
          <w:bCs/>
          <w:color w:val="000000"/>
          <w:sz w:val="24"/>
          <w:szCs w:val="24"/>
          <w:highlight w:val="none"/>
          <w:lang w:val="en-US" w:eastAsia="zh-CN" w:bidi="ar-SA"/>
        </w:rPr>
        <w:t xml:space="preserve">注：本次投报的是优惠率，如折扣率为40%，则报价表中优惠率填写60%；如打四折，则报价表中优惠率一栏填写60%，以此为例；</w:t>
      </w:r>
      <w:r>
        <w:rPr>
          <w:rFonts w:ascii="宋体" w:hAnsi="宋体" w:eastAsia="宋体" w:cs="宋体"/>
          <w:b/>
          <w:bCs/>
          <w:color w:val="000000"/>
          <w:sz w:val="24"/>
          <w:szCs w:val="24"/>
          <w:highlight w:val="none"/>
          <w:lang w:val="en-US" w:eastAsia="zh-CN" w:bidi="ar-SA"/>
        </w:rPr>
      </w:r>
      <w:r/>
    </w:p>
    <w:p>
      <w:pPr>
        <w:pStyle w:val="730"/>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w:t>
      </w:r>
      <w:r>
        <w:rPr>
          <w:rFonts w:hint="eastAsia" w:ascii="宋体" w:hAnsi="宋体" w:cs="宋体"/>
          <w:color w:val="000000"/>
          <w:sz w:val="24"/>
          <w:highlight w:val="none"/>
        </w:rPr>
        <w:t xml:space="preserve">为规范中药饮片采购渠道</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统一质量标准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保障中药饮片质量和供给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促进中医药事业发展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结合国家相关政策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拟采购中药饮片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集中代加工及配送服务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中药饮片集中代加工及配送服务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需提供所需合格的中药饮片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且利用信息技术优势和规模优势</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为采购客户提供代煎、熬膏</w:t>
      </w:r>
      <w:r>
        <w:rPr>
          <w:rFonts w:hint="eastAsia" w:ascii="宋体" w:hAnsi="宋体" w:cs="宋体"/>
          <w:color w:val="000000"/>
          <w:sz w:val="24"/>
          <w:highlight w:val="none"/>
          <w:lang w:eastAsia="zh-CN"/>
        </w:rPr>
        <w:t xml:space="preserve">、制丸、磨粉</w:t>
      </w:r>
      <w:r>
        <w:rPr>
          <w:rFonts w:hint="eastAsia" w:ascii="宋体" w:hAnsi="宋体" w:cs="宋体"/>
          <w:color w:val="000000"/>
          <w:sz w:val="24"/>
          <w:highlight w:val="none"/>
        </w:rPr>
        <w:t xml:space="preserve">等中药代加工服务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并将配好的汤剂、膏剂、丸剂</w:t>
      </w:r>
      <w:r>
        <w:rPr>
          <w:rFonts w:hint="eastAsia" w:ascii="宋体" w:hAnsi="宋体" w:cs="宋体"/>
          <w:color w:val="000000"/>
          <w:sz w:val="24"/>
          <w:highlight w:val="none"/>
          <w:lang w:eastAsia="zh-CN"/>
        </w:rPr>
        <w:t xml:space="preserve">、粉剂</w:t>
      </w:r>
      <w:r>
        <w:rPr>
          <w:rFonts w:hint="eastAsia" w:ascii="宋体" w:hAnsi="宋体" w:cs="宋体"/>
          <w:color w:val="000000"/>
          <w:sz w:val="24"/>
          <w:highlight w:val="none"/>
        </w:rPr>
        <w:t xml:space="preserve">等代加工后的成品配送到</w:t>
      </w:r>
      <w:r>
        <w:rPr>
          <w:rFonts w:hint="eastAsia" w:ascii="宋体" w:hAnsi="宋体" w:eastAsia="宋体" w:cs="宋体"/>
          <w:color w:val="000000"/>
          <w:sz w:val="24"/>
          <w:highlight w:val="none"/>
          <w:lang w:val="en-US" w:eastAsia="zh-CN"/>
        </w:rPr>
        <w:t xml:space="preserve">采购人</w:t>
      </w:r>
      <w:r>
        <w:rPr>
          <w:rFonts w:hint="eastAsia" w:ascii="宋体" w:hAnsi="宋体" w:cs="宋体"/>
          <w:color w:val="000000"/>
          <w:sz w:val="24"/>
          <w:highlight w:val="none"/>
        </w:rPr>
        <w:t xml:space="preserve">或</w:t>
      </w:r>
      <w:r>
        <w:rPr>
          <w:rFonts w:hint="eastAsia" w:ascii="宋体" w:hAnsi="宋体" w:cs="宋体"/>
          <w:color w:val="000000"/>
          <w:sz w:val="24"/>
          <w:highlight w:val="none"/>
          <w:lang w:val="en-US" w:eastAsia="zh-CN"/>
        </w:rPr>
        <w:t xml:space="preserve">患者</w:t>
      </w:r>
      <w:r>
        <w:rPr>
          <w:rFonts w:hint="eastAsia" w:ascii="宋体" w:hAnsi="宋体" w:cs="宋体"/>
          <w:color w:val="000000"/>
          <w:sz w:val="24"/>
          <w:highlight w:val="none"/>
        </w:rPr>
        <w:t xml:space="preserve">手中</w:t>
      </w:r>
      <w:r>
        <w:rPr>
          <w:rFonts w:hint="eastAsia" w:ascii="宋体" w:hAnsi="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第四章《采购需求》</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730"/>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6.服务期限：</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年</w:t>
      </w:r>
      <w:r>
        <w:rPr>
          <w:rFonts w:hint="eastAsia" w:ascii="宋体" w:hAnsi="宋体" w:eastAsia="宋体" w:cs="宋体"/>
          <w:color w:val="000000"/>
          <w:sz w:val="24"/>
          <w:szCs w:val="24"/>
          <w:highlight w:val="none"/>
          <w:shd w:val="clear" w:color="auto" w:fill="ffffff"/>
          <w:lang w:val="en-US" w:eastAsia="zh-CN"/>
        </w:rPr>
        <w:t xml:space="preserve">（合同一年一签）一年期满，采购人视考核及评价结果决定是否续签。</w:t>
      </w:r>
      <w:r>
        <w:rPr>
          <w:rFonts w:hint="eastAsia" w:ascii="宋体" w:hAnsi="宋体" w:eastAsia="宋体" w:cs="宋体"/>
          <w:color w:val="000000"/>
          <w:sz w:val="24"/>
          <w:highlight w:val="none"/>
        </w:rPr>
        <w:t xml:space="preserve">若发生产品质量</w:t>
      </w:r>
      <w:r>
        <w:rPr>
          <w:rFonts w:hint="eastAsia" w:ascii="宋体" w:hAnsi="宋体" w:eastAsia="宋体" w:cs="宋体"/>
          <w:color w:val="000000"/>
          <w:sz w:val="24"/>
          <w:highlight w:val="none"/>
          <w:lang w:eastAsia="zh-CN"/>
        </w:rPr>
        <w:t xml:space="preserve">或其他</w:t>
      </w:r>
      <w:r>
        <w:rPr>
          <w:rFonts w:hint="eastAsia" w:ascii="宋体" w:hAnsi="宋体" w:eastAsia="宋体" w:cs="宋体"/>
          <w:color w:val="000000"/>
          <w:sz w:val="24"/>
          <w:highlight w:val="none"/>
        </w:rPr>
        <w:t xml:space="preserve">问题导致不良后果的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可随时终止合同</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7.服务</w:t>
      </w:r>
      <w:r>
        <w:rPr>
          <w:rFonts w:hint="eastAsia" w:ascii="宋体" w:hAnsi="宋体" w:cs="宋体"/>
          <w:color w:val="000000"/>
          <w:sz w:val="24"/>
          <w:szCs w:val="24"/>
          <w:highlight w:val="none"/>
        </w:rPr>
        <w:t xml:space="preserve">质量要求：符合国家、地方及相关行业标准</w:t>
      </w:r>
      <w:r>
        <w:rPr>
          <w:rFonts w:hint="eastAsia"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730"/>
        <w:ind w:firstLine="480"/>
        <w:jc w:val="left"/>
        <w:spacing w:line="360" w:lineRule="auto"/>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highlight w:val="none"/>
        </w:rPr>
        <w:t xml:space="preserve">本项目标的所属行业：</w:t>
      </w:r>
      <w:r>
        <w:rPr>
          <w:rFonts w:hint="eastAsia" w:ascii="宋体" w:hAnsi="宋体" w:eastAsia="宋体" w:cs="宋体"/>
          <w:color w:val="000000"/>
          <w:sz w:val="24"/>
          <w:highlight w:val="none"/>
          <w:lang w:val="en-US" w:eastAsia="zh-CN"/>
        </w:rPr>
        <w:t xml:space="preserve">工业</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根据《关于印发中小企业划型标准规定的通知》工信部联企业〔2011〕300号规定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工业</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lang w:eastAsia="zh-CN"/>
        </w:rPr>
      </w:r>
      <w:r/>
    </w:p>
    <w:p>
      <w:pPr>
        <w:pStyle w:val="730"/>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联合投标。</w:t>
      </w:r>
      <w:r>
        <w:rPr>
          <w:rFonts w:ascii="宋体" w:hAnsi="宋体" w:eastAsia="宋体" w:cs="宋体"/>
          <w:color w:val="000000"/>
          <w:sz w:val="24"/>
          <w:szCs w:val="24"/>
          <w:highlight w:val="none"/>
        </w:rPr>
      </w:r>
      <w:r/>
    </w:p>
    <w:p>
      <w:pPr>
        <w:pStyle w:val="730"/>
        <w:ind w:firstLine="480"/>
        <w:jc w:val="left"/>
        <w:spacing w:line="360" w:lineRule="auto"/>
        <w:shd w:val="clear" w:color="auto" w:fill="ffffff"/>
        <w:widowControl/>
        <w:rPr>
          <w:rFonts w:ascii="宋体" w:hAnsi="宋体" w:cs="宋体"/>
          <w:color w:val="000000"/>
          <w:sz w:val="24"/>
          <w:highlight w:val="none"/>
        </w:rPr>
      </w:pPr>
      <w:r>
        <w:rPr>
          <w:rFonts w:hint="eastAsia" w:ascii="宋体" w:hAnsi="宋体" w:eastAsia="宋体" w:cs="宋体"/>
          <w:color w:val="000000"/>
          <w:sz w:val="24"/>
          <w:szCs w:val="24"/>
          <w:highlight w:val="none"/>
        </w:rPr>
        <w:t xml:space="preserve">10.</w:t>
      </w:r>
      <w:r>
        <w:rPr>
          <w:rFonts w:hint="eastAsia" w:ascii="宋体" w:hAnsi="宋体" w:cs="宋体"/>
          <w:color w:val="000000"/>
          <w:sz w:val="24"/>
          <w:highlight w:val="none"/>
        </w:rPr>
        <w:t xml:space="preserve">本项目是否需要缴纳履约保证金：</w:t>
      </w:r>
      <w:r>
        <w:rPr>
          <w:rFonts w:hint="eastAsia" w:hAnsi="宋体" w:eastAsia="宋体" w:cs="宋体"/>
          <w:color w:val="000000"/>
          <w:sz w:val="24"/>
          <w:szCs w:val="24"/>
          <w:highlight w:val="none"/>
          <w:lang w:val="en-US" w:eastAsia="zh-CN"/>
        </w:rPr>
        <w:t xml:space="preserve">否</w:t>
      </w:r>
      <w:r>
        <w:rPr>
          <w:rFonts w:hint="eastAsia" w:ascii="宋体" w:hAnsi="宋体" w:cs="宋体"/>
          <w:color w:val="000000"/>
          <w:sz w:val="24"/>
          <w:szCs w:val="24"/>
          <w:highlight w:val="none"/>
        </w:rPr>
        <w:t xml:space="preserve">。</w:t>
      </w:r>
      <w:r>
        <w:rPr>
          <w:rFonts w:ascii="宋体" w:hAnsi="宋体" w:cs="宋体"/>
          <w:color w:val="000000"/>
          <w:sz w:val="24"/>
          <w:highlight w:val="none"/>
        </w:rPr>
      </w:r>
      <w:r/>
    </w:p>
    <w:p>
      <w:pPr>
        <w:pStyle w:val="730"/>
        <w:ind w:firstLine="480"/>
        <w:jc w:val="left"/>
        <w:spacing w:line="360"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（二）投标人资格要求</w:t>
      </w:r>
      <w:r>
        <w:rPr>
          <w:rFonts w:ascii="宋体" w:hAnsi="宋体" w:eastAsia="宋体" w:cs="宋体"/>
          <w:b/>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ascii="宋体" w:hAnsi="宋体" w:eastAsia="宋体" w:cs="宋体"/>
          <w:color w:val="000000"/>
          <w:sz w:val="24"/>
          <w:szCs w:val="24"/>
          <w:highlight w:val="none"/>
        </w:rPr>
      </w:r>
      <w:r/>
    </w:p>
    <w:p>
      <w:pPr>
        <w:pStyle w:val="7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2.1中小企业政策：本项目专门面向中小企业</w:t>
      </w:r>
      <w:r>
        <w:rPr>
          <w:rFonts w:hint="eastAsia" w:ascii="宋体" w:hAnsi="宋体" w:cs="宋体"/>
          <w:color w:val="000000"/>
          <w:sz w:val="24"/>
          <w:highlight w:val="none"/>
        </w:rPr>
        <w:t xml:space="preserve">（或监狱企业或残疾人福利性单位）采购</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rPr>
          <w:rFonts w:ascii="宋体" w:hAnsi="宋体"/>
          <w:color w:val="000000"/>
          <w:sz w:val="24"/>
          <w:highlight w:val="none"/>
        </w:rPr>
      </w:r>
      <w:r/>
    </w:p>
    <w:p>
      <w:pPr>
        <w:pStyle w:val="730"/>
        <w:numPr>
          <w:ilvl w:val="0"/>
          <w:numId w:val="7"/>
        </w:numPr>
        <w:ind w:firstLine="480"/>
        <w:spacing w:line="360" w:lineRule="auto"/>
        <w:tabs>
          <w:tab w:val="left" w:pos="312"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color w:val="000000"/>
          <w:sz w:val="24"/>
          <w:szCs w:val="24"/>
          <w:highlight w:val="none"/>
          <w:shd w:val="clear" w:color="auto" w:fill="auto"/>
          <w:lang w:eastAsia="zh-CN"/>
        </w:rPr>
        <w:t xml:space="preserve">投标人</w:t>
      </w:r>
      <w:r>
        <w:rPr>
          <w:rFonts w:hint="eastAsia" w:ascii="宋体" w:hAnsi="宋体"/>
          <w:color w:val="000000"/>
          <w:sz w:val="24"/>
          <w:szCs w:val="24"/>
          <w:highlight w:val="none"/>
          <w:shd w:val="clear" w:color="auto" w:fill="auto"/>
        </w:rPr>
        <w:t xml:space="preserve">必须具备有效期内的《药品生产许可证》或《药品经营许可证》</w:t>
      </w:r>
      <w:r>
        <w:rPr>
          <w:rFonts w:hint="eastAsia" w:ascii="宋体" w:hAnsi="宋体"/>
          <w:color w:val="000000"/>
          <w:sz w:val="24"/>
          <w:szCs w:val="24"/>
          <w:highlight w:val="none"/>
          <w:shd w:val="clear" w:color="auto" w:fill="auto"/>
          <w:lang w:eastAsia="zh-CN"/>
        </w:rPr>
        <w:t xml:space="preserve">。</w:t>
      </w:r>
      <w:r>
        <w:rPr>
          <w:rFonts w:ascii="宋体" w:hAnsi="宋体" w:eastAsia="宋体" w:cs="宋体"/>
          <w:color w:val="000000"/>
          <w:sz w:val="24"/>
          <w:szCs w:val="24"/>
          <w:highlight w:val="none"/>
        </w:rPr>
      </w:r>
      <w:r/>
    </w:p>
    <w:p>
      <w:pPr>
        <w:pStyle w:val="7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（三）获取采购文件的时间期限</w:t>
      </w:r>
      <w:r>
        <w:rPr>
          <w:rFonts w:ascii="宋体" w:hAnsi="宋体" w:eastAsia="宋体" w:cs="宋体"/>
          <w:b/>
          <w:color w:val="000000"/>
          <w:sz w:val="24"/>
          <w:szCs w:val="24"/>
          <w:highlight w:val="none"/>
        </w:rPr>
      </w:r>
      <w:r/>
    </w:p>
    <w:p>
      <w:pPr>
        <w:pStyle w:val="730"/>
        <w:ind w:firstLine="5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rPr>
          <w:rFonts w:ascii="宋体" w:hAnsi="宋体" w:eastAsia="宋体" w:cs="宋体"/>
          <w:color w:val="000000"/>
          <w:sz w:val="24"/>
          <w:szCs w:val="24"/>
          <w:highlight w:val="none"/>
        </w:rPr>
      </w:r>
      <w:r/>
    </w:p>
    <w:p>
      <w:pPr>
        <w:pStyle w:val="730"/>
        <w:ind w:firstLine="54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ascii="宋体" w:hAnsi="宋体" w:eastAsia="宋体" w:cs="宋体"/>
          <w:bCs/>
          <w:color w:val="000000"/>
          <w:sz w:val="24"/>
          <w:szCs w:val="24"/>
          <w:highlight w:val="none"/>
        </w:rPr>
      </w:r>
      <w:r/>
    </w:p>
    <w:p>
      <w:pPr>
        <w:pStyle w:val="730"/>
        <w:ind w:firstLine="54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ascii="宋体" w:hAnsi="宋体" w:eastAsia="宋体" w:cs="宋体"/>
          <w:bCs/>
          <w:color w:val="000000"/>
          <w:sz w:val="24"/>
          <w:szCs w:val="24"/>
          <w:highlight w:val="none"/>
        </w:rPr>
      </w:r>
      <w:r/>
    </w:p>
    <w:p>
      <w:pPr>
        <w:pStyle w:val="730"/>
        <w:ind w:firstLine="54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rPr>
          <w:rFonts w:ascii="宋体" w:hAnsi="宋体" w:eastAsia="宋体" w:cs="宋体"/>
          <w:bCs/>
          <w:color w:val="000000"/>
          <w:sz w:val="24"/>
          <w:szCs w:val="24"/>
          <w:highlight w:val="none"/>
        </w:rPr>
      </w:r>
      <w:r/>
    </w:p>
    <w:p>
      <w:pPr>
        <w:pStyle w:val="7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rPr>
          <w:rFonts w:ascii="宋体" w:hAnsi="宋体" w:eastAsia="宋体" w:cs="宋体"/>
          <w:b/>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
          <w:bCs/>
          <w:color w:val="000000"/>
          <w:sz w:val="24"/>
          <w:szCs w:val="24"/>
          <w:highlight w:val="none"/>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Cs/>
          <w:color w:val="000000"/>
          <w:sz w:val="24"/>
          <w:szCs w:val="24"/>
          <w:highlight w:val="none"/>
        </w:rPr>
        <w:t xml:space="preserve">（北京时间），截止时间后上传的任何投标文件恕不接受。</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“江苏省政府采购（苏采云）平台”网上开标大厅。</w:t>
      </w:r>
      <w:r>
        <w:rPr>
          <w:rFonts w:ascii="宋体" w:hAnsi="宋体" w:eastAsia="宋体" w:cs="宋体"/>
          <w:bCs/>
          <w:color w:val="000000"/>
          <w:sz w:val="24"/>
          <w:szCs w:val="24"/>
          <w:highlight w:val="none"/>
        </w:rPr>
      </w:r>
      <w:r/>
    </w:p>
    <w:p>
      <w:pPr>
        <w:pStyle w:val="927"/>
        <w:ind w:firstLine="452"/>
        <w:keepLines w:val="0"/>
        <w:keepNext w:val="0"/>
        <w:spacing w:before="0" w:after="0" w:line="360" w:lineRule="auto"/>
        <w:rPr>
          <w:rFonts w:ascii="宋体" w:hAnsi="宋体" w:cs="宋体"/>
          <w:bCs w:val="0"/>
          <w:color w:val="000000"/>
          <w:sz w:val="24"/>
          <w:szCs w:val="24"/>
          <w:highlight w:val="none"/>
          <w:lang w:eastAsia="zh-CN"/>
        </w:rPr>
      </w:pPr>
      <w:r>
        <w:rPr>
          <w:rFonts w:hint="eastAsia" w:ascii="宋体" w:hAnsi="宋体" w:cs="宋体"/>
          <w:bCs w:val="0"/>
          <w:color w:val="000000"/>
          <w:sz w:val="24"/>
          <w:szCs w:val="24"/>
          <w:highlight w:val="none"/>
          <w:lang w:eastAsia="zh-CN"/>
        </w:rPr>
        <w:t xml:space="preserve">（五）公告期限</w:t>
      </w:r>
      <w:r>
        <w:rPr>
          <w:rFonts w:ascii="宋体" w:hAnsi="宋体" w:cs="宋体"/>
          <w:bCs w:val="0"/>
          <w:color w:val="000000"/>
          <w:sz w:val="24"/>
          <w:szCs w:val="24"/>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（招标公告及招标文件公告期限）自本公告发布之日起5个工作日。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其他补充事宜</w:t>
      </w:r>
      <w:r>
        <w:rPr>
          <w:rFonts w:ascii="宋体" w:hAnsi="宋体" w:eastAsia="宋体" w:cs="宋体"/>
          <w:b/>
          <w:bCs/>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ascii="宋体" w:hAnsi="宋体" w:eastAsia="宋体" w:cs="宋体"/>
          <w:color w:val="000000"/>
          <w:sz w:val="24"/>
          <w:szCs w:val="24"/>
          <w:highlight w:val="none"/>
        </w:rPr>
      </w:r>
      <w:r/>
    </w:p>
    <w:p>
      <w:pPr>
        <w:pStyle w:val="730"/>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（七）</w:t>
      </w:r>
      <w:r>
        <w:rPr>
          <w:rFonts w:hint="eastAsia" w:ascii="宋体" w:hAnsi="宋体" w:eastAsia="宋体" w:cs="宋体"/>
          <w:b/>
          <w:bCs/>
          <w:color w:val="000000"/>
          <w:sz w:val="24"/>
          <w:szCs w:val="24"/>
          <w:highlight w:val="none"/>
        </w:rPr>
        <w:t xml:space="preserve">本次招标联系方式</w:t>
      </w:r>
      <w:r>
        <w:rPr>
          <w:rFonts w:ascii="宋体" w:hAnsi="宋体" w:eastAsia="宋体" w:cs="宋体"/>
          <w:b/>
          <w:bCs/>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名称：普信国际工程咨询有限公司</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项目联系人：施晓旻（项目负责人）、曾舒</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电话：13057331267、15651504035               </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地址：无锡市蠡湖大道2018号普信COPO 2号楼2楼213</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邮箱：wxpx2b@163.com</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无锡市梁溪区黄巷街道社区卫生服务中心</w:t>
      </w:r>
      <w:r>
        <w:rPr>
          <w:rFonts w:hint="eastAsia" w:ascii="宋体" w:hAnsi="宋体" w:eastAsia="宋体" w:cs="宋体"/>
          <w:color w:val="000000"/>
          <w:sz w:val="24"/>
          <w:szCs w:val="24"/>
          <w:highlight w:val="none"/>
        </w:rPr>
        <w:tab/>
      </w:r>
      <w:r>
        <w:rPr>
          <w:rFonts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江苏省无锡市梁溪区黄巷街道龙塘西苑1号</w:t>
      </w:r>
      <w:r>
        <w:rPr>
          <w:rFonts w:hint="eastAsia" w:ascii="宋体" w:hAnsi="宋体" w:eastAsia="宋体" w:cs="宋体"/>
          <w:color w:val="000000"/>
          <w:sz w:val="24"/>
          <w:szCs w:val="24"/>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联系方式：见“招标公告项目联系方式”</w:t>
      </w:r>
      <w:r>
        <w:rPr>
          <w:rFonts w:ascii="宋体" w:hAnsi="宋体" w:eastAsia="宋体" w:cs="宋体"/>
          <w:color w:val="000000"/>
          <w:sz w:val="24"/>
          <w:szCs w:val="24"/>
          <w:highlight w:val="none"/>
        </w:rPr>
      </w:r>
      <w:r/>
    </w:p>
    <w:p>
      <w:pPr>
        <w:pStyle w:val="7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（八）其他</w:t>
      </w:r>
      <w:r>
        <w:rPr>
          <w:rFonts w:ascii="宋体" w:hAnsi="宋体" w:eastAsia="宋体" w:cs="宋体"/>
          <w:b/>
          <w:color w:val="000000"/>
          <w:sz w:val="24"/>
          <w:szCs w:val="24"/>
          <w:highlight w:val="none"/>
        </w:rPr>
      </w:r>
      <w:r/>
    </w:p>
    <w:p>
      <w:pPr>
        <w:pStyle w:val="730"/>
        <w:ind w:firstLine="480"/>
        <w:jc w:val="left"/>
        <w:spacing w:line="50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（一）供应商“账号注册”及CA办理</w:t>
      </w:r>
      <w:r>
        <w:rPr>
          <w:rFonts w:ascii="宋体" w:hAnsi="宋体" w:cs="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请有意参加本项目采购活动的供应商按以下流程进行操作</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）点击“江苏省政府采购（苏采云）平台”</w:t>
      </w:r>
      <w:r>
        <w:rPr>
          <w:rFonts w:ascii="宋体" w:hAnsi="宋体"/>
          <w:bCs/>
          <w:color w:val="000000"/>
          <w:sz w:val="24"/>
          <w:highlight w:val="none"/>
        </w:rPr>
        <w:t xml:space="preserve">（以下简称</w:t>
      </w:r>
      <w:r>
        <w:rPr>
          <w:rFonts w:hint="eastAsia" w:ascii="宋体" w:hAnsi="宋体"/>
          <w:bCs/>
          <w:color w:val="000000"/>
          <w:sz w:val="24"/>
          <w:highlight w:val="none"/>
        </w:rPr>
        <w:t xml:space="preserve">“苏采云”系统</w:t>
      </w:r>
      <w:r>
        <w:rPr>
          <w:rFonts w:ascii="宋体" w:hAnsi="宋体"/>
          <w:bCs/>
          <w:color w:val="000000"/>
          <w:sz w:val="24"/>
          <w:highlight w:val="none"/>
        </w:rPr>
        <w:t xml:space="preserve">）</w:t>
      </w:r>
      <w:r>
        <w:rPr>
          <w:rFonts w:hint="eastAsia" w:ascii="宋体" w:hAnsi="宋体"/>
          <w:color w:val="000000"/>
          <w:sz w:val="24"/>
          <w:highlight w:val="none"/>
        </w:rPr>
        <w:t xml:space="preserve">选择供应商版块，点击“用户注册”按钮，进行账号注册，注册完成后需在</w:t>
      </w:r>
      <w:r>
        <w:rPr>
          <w:rFonts w:hint="eastAsia" w:ascii="宋体" w:hAnsi="宋体"/>
          <w:bCs/>
          <w:color w:val="000000"/>
          <w:sz w:val="24"/>
          <w:highlight w:val="none"/>
        </w:rPr>
        <w:t xml:space="preserve">系统</w:t>
      </w:r>
      <w:r>
        <w:rPr>
          <w:rFonts w:hint="eastAsia" w:ascii="宋体" w:hAnsi="宋体"/>
          <w:color w:val="000000"/>
          <w:sz w:val="24"/>
          <w:highlight w:val="none"/>
        </w:rPr>
        <w:t xml:space="preserve">中填写资质信息并提交。也可以直接通过http://jszfcg.jsczt.cn/进入界面。</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）办理</w:t>
      </w:r>
      <w:r>
        <w:rPr>
          <w:rFonts w:hint="eastAsia" w:ascii="宋体" w:hAnsi="宋体"/>
          <w:color w:val="000000"/>
          <w:sz w:val="24"/>
          <w:highlight w:val="none"/>
        </w:rPr>
        <w:t xml:space="preserve">“意源”CA数字证书和“方正”电子签章</w:t>
      </w:r>
      <w:r>
        <w:rPr>
          <w:rFonts w:ascii="宋体" w:hAnsi="宋体"/>
          <w:color w:val="000000"/>
          <w:sz w:val="24"/>
          <w:highlight w:val="none"/>
        </w:rPr>
        <w:t xml:space="preserve">（办理地址</w:t>
      </w:r>
      <w:r>
        <w:rPr>
          <w:rFonts w:hint="eastAsia" w:ascii="宋体" w:hAnsi="宋体"/>
          <w:color w:val="000000"/>
          <w:sz w:val="24"/>
          <w:highlight w:val="none"/>
        </w:rPr>
        <w:t xml:space="preserve">：无锡市滨湖区观山路</w:t>
      </w:r>
      <w:r>
        <w:rPr>
          <w:rFonts w:ascii="宋体" w:hAnsi="宋体"/>
          <w:color w:val="000000"/>
          <w:sz w:val="24"/>
          <w:highlight w:val="none"/>
        </w:rPr>
        <w:t xml:space="preserve">199</w:t>
      </w:r>
      <w:r>
        <w:rPr>
          <w:rFonts w:hint="eastAsia" w:ascii="宋体" w:hAnsi="宋体"/>
          <w:color w:val="000000"/>
          <w:sz w:val="24"/>
          <w:highlight w:val="none"/>
        </w:rPr>
        <w:t xml:space="preserve">号</w:t>
      </w:r>
      <w:r>
        <w:rPr>
          <w:rFonts w:ascii="宋体" w:hAnsi="宋体"/>
          <w:color w:val="000000"/>
          <w:sz w:val="24"/>
          <w:highlight w:val="none"/>
        </w:rPr>
        <w:t xml:space="preserve">12</w:t>
      </w:r>
      <w:r>
        <w:rPr>
          <w:rFonts w:hint="eastAsia" w:ascii="宋体" w:hAnsi="宋体"/>
          <w:color w:val="000000"/>
          <w:sz w:val="24"/>
          <w:highlight w:val="none"/>
        </w:rPr>
        <w:t xml:space="preserve">号楼二楼</w:t>
      </w:r>
      <w:r>
        <w:rPr>
          <w:rFonts w:ascii="宋体" w:hAnsi="宋体"/>
          <w:color w:val="000000"/>
          <w:sz w:val="24"/>
          <w:highlight w:val="none"/>
        </w:rPr>
        <w:t xml:space="preserve">9</w:t>
      </w:r>
      <w:r>
        <w:rPr>
          <w:rFonts w:hint="eastAsia" w:ascii="宋体" w:hAnsi="宋体"/>
          <w:color w:val="000000"/>
          <w:sz w:val="24"/>
          <w:highlight w:val="none"/>
        </w:rPr>
        <w:t xml:space="preserve">号、</w:t>
      </w:r>
      <w:r>
        <w:rPr>
          <w:rFonts w:ascii="宋体" w:hAnsi="宋体"/>
          <w:color w:val="000000"/>
          <w:sz w:val="24"/>
          <w:highlight w:val="none"/>
        </w:rPr>
        <w:t xml:space="preserve">10</w:t>
      </w:r>
      <w:r>
        <w:rPr>
          <w:rFonts w:hint="eastAsia" w:ascii="宋体" w:hAnsi="宋体"/>
          <w:color w:val="000000"/>
          <w:sz w:val="24"/>
          <w:highlight w:val="none"/>
        </w:rPr>
        <w:t xml:space="preserve">号窗口</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t xml:space="preserve">办理指南链接</w:t>
      </w:r>
      <w:r>
        <w:rPr>
          <w:rFonts w:hint="eastAsia" w:ascii="宋体" w:hAnsi="宋体"/>
          <w:color w:val="000000"/>
          <w:sz w:val="24"/>
          <w:highlight w:val="none"/>
        </w:rPr>
        <w:t xml:space="preserve">：</w:t>
      </w:r>
      <w:r>
        <w:rPr>
          <w:rFonts w:ascii="宋体" w:hAnsi="宋体"/>
          <w:color w:val="000000"/>
          <w:sz w:val="24"/>
          <w:highlight w:val="none"/>
        </w:rPr>
        <w:t xml:space="preserve">http://jsxcmm.com/help/help.html</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）CA驱动下载</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在</w:t>
      </w:r>
      <w:r>
        <w:rPr>
          <w:rFonts w:hint="eastAsia" w:ascii="宋体" w:hAnsi="宋体"/>
          <w:bCs/>
          <w:color w:val="000000"/>
          <w:sz w:val="24"/>
          <w:highlight w:val="none"/>
        </w:rPr>
        <w:t xml:space="preserve">“苏采云”系统账号登录</w:t>
      </w:r>
      <w:r>
        <w:rPr>
          <w:rFonts w:ascii="宋体" w:hAnsi="宋体"/>
          <w:color w:val="000000"/>
          <w:sz w:val="24"/>
          <w:highlight w:val="none"/>
        </w:rPr>
        <w:t xml:space="preserve">页面</w:t>
      </w:r>
      <w:r>
        <w:rPr>
          <w:rFonts w:hint="eastAsia" w:ascii="宋体" w:hAnsi="宋体"/>
          <w:color w:val="000000"/>
          <w:sz w:val="24"/>
          <w:highlight w:val="none"/>
        </w:rPr>
        <w:t xml:space="preserve">，</w:t>
      </w:r>
      <w:r>
        <w:rPr>
          <w:rFonts w:ascii="宋体" w:hAnsi="宋体"/>
          <w:color w:val="000000"/>
          <w:sz w:val="24"/>
          <w:highlight w:val="none"/>
        </w:rPr>
        <w:t xml:space="preserve">点击“驱动下载”链接中的“政务CA、方正签章控件驱动安装包及安装说明”可以直接下载驱动安装包</w:t>
      </w:r>
      <w:r>
        <w:rPr>
          <w:rFonts w:hint="eastAsia" w:ascii="宋体" w:hAnsi="宋体"/>
          <w:color w:val="000000"/>
          <w:sz w:val="24"/>
          <w:highlight w:val="none"/>
        </w:rPr>
        <w:t xml:space="preserve">，</w:t>
      </w:r>
      <w:r>
        <w:rPr>
          <w:rFonts w:ascii="宋体" w:hAnsi="宋体"/>
          <w:color w:val="000000"/>
          <w:sz w:val="24"/>
          <w:highlight w:val="none"/>
        </w:rPr>
        <w:t xml:space="preserve">安装包中附有驱动安装手册</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技术服务电话</w:t>
      </w:r>
      <w:r>
        <w:rPr>
          <w:rFonts w:hint="eastAsia" w:ascii="宋体" w:hAnsi="宋体"/>
          <w:color w:val="000000"/>
          <w:sz w:val="24"/>
          <w:highlight w:val="none"/>
        </w:rPr>
        <w:t xml:space="preserve">：0510-81827781</w:t>
      </w:r>
      <w:r>
        <w:rPr>
          <w:rFonts w:ascii="宋体" w:hAnsi="宋体"/>
          <w:color w:val="000000"/>
          <w:sz w:val="24"/>
          <w:highlight w:val="none"/>
        </w:rPr>
        <w:t xml:space="preserve">（服务时间</w:t>
      </w:r>
      <w:r>
        <w:rPr>
          <w:rFonts w:hint="eastAsia" w:ascii="宋体" w:hAnsi="宋体"/>
          <w:color w:val="000000"/>
          <w:sz w:val="24"/>
          <w:highlight w:val="none"/>
        </w:rPr>
        <w:t xml:space="preserve">：</w:t>
      </w:r>
      <w:r>
        <w:rPr>
          <w:rFonts w:ascii="宋体" w:hAnsi="宋体"/>
          <w:color w:val="000000"/>
          <w:sz w:val="24"/>
          <w:highlight w:val="none"/>
        </w:rPr>
        <w:t xml:space="preserve">工作日</w:t>
      </w:r>
      <w:r>
        <w:rPr>
          <w:rFonts w:hint="eastAsia" w:ascii="宋体" w:hAnsi="宋体"/>
          <w:color w:val="000000"/>
          <w:sz w:val="24"/>
          <w:highlight w:val="none"/>
        </w:rPr>
        <w:t xml:space="preserve"> 9:00-11:30,13:00-17:00</w:t>
      </w:r>
      <w:r>
        <w:rPr>
          <w:rFonts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完成</w:t>
      </w:r>
      <w:r>
        <w:rPr>
          <w:rFonts w:hint="eastAsia" w:ascii="宋体" w:hAnsi="宋体"/>
          <w:bCs/>
          <w:color w:val="000000"/>
          <w:sz w:val="24"/>
          <w:highlight w:val="none"/>
        </w:rPr>
        <w:t xml:space="preserve">“苏采云”系统</w:t>
      </w:r>
      <w:r>
        <w:rPr>
          <w:rFonts w:hint="eastAsia" w:ascii="宋体" w:hAnsi="宋体"/>
          <w:color w:val="000000"/>
          <w:sz w:val="24"/>
          <w:highlight w:val="none"/>
        </w:rPr>
        <w:t xml:space="preserve">账号注册</w:t>
      </w:r>
      <w:r>
        <w:rPr>
          <w:rFonts w:ascii="宋体" w:hAnsi="宋体"/>
          <w:color w:val="000000"/>
          <w:sz w:val="24"/>
          <w:highlight w:val="none"/>
        </w:rPr>
        <w:t xml:space="preserve">的供应商方可</w:t>
      </w:r>
      <w:r>
        <w:rPr>
          <w:rFonts w:hint="eastAsia" w:ascii="宋体" w:hAnsi="宋体"/>
          <w:color w:val="000000"/>
          <w:sz w:val="24"/>
          <w:highlight w:val="none"/>
        </w:rPr>
        <w:t xml:space="preserve">在</w:t>
      </w:r>
      <w:r>
        <w:rPr>
          <w:rFonts w:hint="eastAsia" w:ascii="宋体" w:hAnsi="宋体"/>
          <w:bCs/>
          <w:color w:val="000000"/>
          <w:sz w:val="24"/>
          <w:highlight w:val="none"/>
        </w:rPr>
        <w:t xml:space="preserve">“苏采云”系统</w:t>
      </w:r>
      <w:r>
        <w:rPr>
          <w:rFonts w:ascii="宋体" w:hAnsi="宋体"/>
          <w:color w:val="000000"/>
          <w:sz w:val="24"/>
          <w:highlight w:val="none"/>
        </w:rPr>
        <w:t xml:space="preserve">中进行CA绑定</w:t>
      </w:r>
      <w:r>
        <w:rPr>
          <w:rFonts w:hint="eastAsia" w:ascii="宋体" w:hAnsi="宋体"/>
          <w:color w:val="000000"/>
          <w:sz w:val="24"/>
          <w:highlight w:val="none"/>
        </w:rPr>
        <w:t xml:space="preserve">。</w:t>
      </w:r>
      <w:r>
        <w:rPr>
          <w:rFonts w:ascii="宋体" w:hAnsi="宋体"/>
          <w:color w:val="000000"/>
          <w:sz w:val="24"/>
          <w:highlight w:val="none"/>
        </w:rPr>
        <w:t xml:space="preserve">登录</w:t>
      </w:r>
      <w:r>
        <w:rPr>
          <w:rFonts w:hint="eastAsia" w:ascii="宋体" w:hAnsi="宋体"/>
          <w:bCs/>
          <w:color w:val="000000"/>
          <w:sz w:val="24"/>
          <w:highlight w:val="none"/>
        </w:rPr>
        <w:t xml:space="preserve">“苏采云”系统</w:t>
      </w:r>
      <w:r>
        <w:rPr>
          <w:rFonts w:hint="eastAsia" w:ascii="宋体" w:hAnsi="宋体"/>
          <w:color w:val="000000"/>
          <w:sz w:val="24"/>
          <w:highlight w:val="none"/>
        </w:rPr>
        <w:t xml:space="preserve">，</w:t>
      </w:r>
      <w:r>
        <w:rPr>
          <w:rFonts w:ascii="宋体" w:hAnsi="宋体"/>
          <w:color w:val="000000"/>
          <w:sz w:val="24"/>
          <w:highlight w:val="none"/>
        </w:rPr>
        <w:t xml:space="preserve">插入CA后</w:t>
      </w:r>
      <w:r>
        <w:rPr>
          <w:rFonts w:hint="eastAsia" w:ascii="宋体" w:hAnsi="宋体"/>
          <w:color w:val="000000"/>
          <w:sz w:val="24"/>
          <w:highlight w:val="none"/>
        </w:rPr>
        <w:t xml:space="preserve">，</w:t>
      </w:r>
      <w:r>
        <w:rPr>
          <w:rFonts w:ascii="宋体" w:hAnsi="宋体"/>
          <w:color w:val="000000"/>
          <w:sz w:val="24"/>
          <w:highlight w:val="none"/>
        </w:rPr>
        <w:t xml:space="preserve">点击【账号设置】——【绑定CA】</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供应商应按上述要求提供相关材料信息</w:t>
      </w:r>
      <w:r>
        <w:rPr>
          <w:rFonts w:hint="eastAsia" w:ascii="宋体" w:hAnsi="宋体"/>
          <w:color w:val="000000"/>
          <w:sz w:val="24"/>
          <w:highlight w:val="none"/>
        </w:rPr>
        <w:t xml:space="preserve">，</w:t>
      </w:r>
      <w:r>
        <w:rPr>
          <w:rFonts w:ascii="宋体" w:hAnsi="宋体"/>
          <w:color w:val="000000"/>
          <w:sz w:val="24"/>
          <w:highlight w:val="none"/>
        </w:rPr>
        <w:t xml:space="preserve">所提供的材料应均是真实的、准确的</w:t>
      </w:r>
      <w:r>
        <w:rPr>
          <w:rFonts w:hint="eastAsia" w:ascii="宋体" w:hAnsi="宋体"/>
          <w:color w:val="000000"/>
          <w:sz w:val="24"/>
          <w:highlight w:val="none"/>
        </w:rPr>
        <w:t xml:space="preserve">，</w:t>
      </w:r>
      <w:r>
        <w:rPr>
          <w:rFonts w:ascii="宋体" w:hAnsi="宋体"/>
          <w:color w:val="000000"/>
          <w:sz w:val="24"/>
          <w:highlight w:val="none"/>
        </w:rPr>
        <w:t xml:space="preserve">若有违背</w:t>
      </w:r>
      <w:r>
        <w:rPr>
          <w:rFonts w:hint="eastAsia" w:ascii="宋体" w:hAnsi="宋体"/>
          <w:color w:val="000000"/>
          <w:sz w:val="24"/>
          <w:highlight w:val="none"/>
        </w:rPr>
        <w:t xml:space="preserve">，</w:t>
      </w:r>
      <w:r>
        <w:rPr>
          <w:rFonts w:ascii="宋体" w:hAnsi="宋体"/>
          <w:color w:val="000000"/>
          <w:sz w:val="24"/>
          <w:highlight w:val="none"/>
        </w:rPr>
        <w:t xml:space="preserve">供应商自行承担由此而产生的一切后果</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如供应商未按上述要求操作</w:t>
      </w:r>
      <w:r>
        <w:rPr>
          <w:rFonts w:hint="eastAsia" w:ascii="宋体" w:hAnsi="宋体"/>
          <w:color w:val="000000"/>
          <w:sz w:val="24"/>
          <w:highlight w:val="none"/>
        </w:rPr>
        <w:t xml:space="preserve">，</w:t>
      </w:r>
      <w:r>
        <w:rPr>
          <w:rFonts w:ascii="宋体" w:hAnsi="宋体"/>
          <w:color w:val="000000"/>
          <w:sz w:val="24"/>
          <w:highlight w:val="none"/>
        </w:rPr>
        <w:t xml:space="preserve">由此所产生的损失及风险由供应商自行承担</w:t>
      </w:r>
      <w:r>
        <w:rPr>
          <w:rFonts w:hint="eastAsia" w:ascii="宋体" w:hAnsi="宋体"/>
          <w:color w:val="000000"/>
          <w:sz w:val="24"/>
          <w:highlight w:val="none"/>
        </w:rPr>
        <w:t xml:space="preserve">。</w:t>
      </w:r>
      <w:r>
        <w:rPr>
          <w:rFonts w:ascii="宋体" w:hAnsi="宋体"/>
          <w:color w:val="000000"/>
          <w:sz w:val="24"/>
          <w:highlight w:val="none"/>
        </w:rPr>
        <w:t xml:space="preserve">具体操作步骤详见</w:t>
      </w:r>
      <w:r>
        <w:rPr>
          <w:rFonts w:hint="eastAsia" w:ascii="宋体" w:hAnsi="宋体"/>
          <w:color w:val="000000"/>
          <w:sz w:val="24"/>
          <w:highlight w:val="none"/>
        </w:rPr>
        <w:t xml:space="preserve">《“苏采云”系统供应商操作手册》</w:t>
      </w:r>
      <w:r>
        <w:rPr>
          <w:rFonts w:ascii="宋体" w:hAnsi="宋体"/>
          <w:color w:val="000000"/>
          <w:sz w:val="24"/>
          <w:highlight w:val="none"/>
        </w:rPr>
        <w:t xml:space="preserve">（以下简称</w:t>
      </w:r>
      <w:r>
        <w:rPr>
          <w:rFonts w:hint="eastAsia" w:ascii="宋体" w:hAnsi="宋体"/>
          <w:color w:val="000000"/>
          <w:sz w:val="24"/>
          <w:highlight w:val="none"/>
        </w:rPr>
        <w:t xml:space="preserve">《操作手册》</w:t>
      </w:r>
      <w:r>
        <w:rPr>
          <w:rFonts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bCs/>
          <w:color w:val="000000"/>
          <w:sz w:val="24"/>
          <w:highlight w:val="none"/>
        </w:rPr>
        <w:t xml:space="preserve">技术支持QQ</w:t>
      </w:r>
      <w:r>
        <w:rPr>
          <w:rFonts w:hint="eastAsia" w:ascii="宋体" w:hAnsi="宋体"/>
          <w:bCs/>
          <w:color w:val="000000"/>
          <w:sz w:val="24"/>
          <w:highlight w:val="none"/>
        </w:rPr>
        <w:t xml:space="preserve">：</w:t>
      </w:r>
      <w:r>
        <w:rPr>
          <w:rFonts w:ascii="宋体" w:hAnsi="宋体"/>
          <w:bCs/>
          <w:color w:val="000000"/>
          <w:sz w:val="24"/>
          <w:highlight w:val="none"/>
        </w:rPr>
        <w:t xml:space="preserve">孙先生</w:t>
      </w:r>
      <w:r>
        <w:rPr>
          <w:rFonts w:hint="eastAsia" w:ascii="宋体" w:hAnsi="宋体"/>
          <w:bCs/>
          <w:color w:val="000000"/>
          <w:sz w:val="24"/>
          <w:highlight w:val="none"/>
        </w:rPr>
        <w:t xml:space="preserve">：</w:t>
      </w:r>
      <w:r>
        <w:rPr>
          <w:rFonts w:ascii="宋体" w:hAnsi="宋体"/>
          <w:bCs/>
          <w:color w:val="000000"/>
          <w:sz w:val="24"/>
          <w:highlight w:val="none"/>
        </w:rPr>
        <w:t xml:space="preserve">442456465</w:t>
      </w:r>
      <w:r>
        <w:rPr>
          <w:rFonts w:hint="eastAsia" w:ascii="宋体" w:hAnsi="宋体"/>
          <w:bCs/>
          <w:color w:val="000000"/>
          <w:sz w:val="24"/>
          <w:highlight w:val="none"/>
        </w:rPr>
        <w:t xml:space="preserve">；</w:t>
      </w:r>
      <w:r>
        <w:rPr>
          <w:rFonts w:ascii="宋体" w:hAnsi="宋体"/>
          <w:bCs/>
          <w:color w:val="000000"/>
          <w:sz w:val="24"/>
          <w:highlight w:val="none"/>
        </w:rPr>
        <w:t xml:space="preserve">王先生</w:t>
      </w:r>
      <w:r>
        <w:rPr>
          <w:rFonts w:hint="eastAsia" w:ascii="宋体" w:hAnsi="宋体"/>
          <w:bCs/>
          <w:color w:val="000000"/>
          <w:sz w:val="24"/>
          <w:highlight w:val="none"/>
        </w:rPr>
        <w:t xml:space="preserve">：</w:t>
      </w:r>
      <w:r>
        <w:rPr>
          <w:rFonts w:ascii="宋体" w:hAnsi="宋体"/>
          <w:bCs/>
          <w:color w:val="000000"/>
          <w:sz w:val="24"/>
          <w:highlight w:val="none"/>
        </w:rPr>
        <w:t xml:space="preserve">1476328133</w:t>
      </w:r>
      <w:r>
        <w:rPr>
          <w:rFonts w:hint="eastAsia" w:ascii="宋体" w:hAnsi="宋体"/>
          <w:bCs/>
          <w:color w:val="000000"/>
          <w:sz w:val="24"/>
          <w:highlight w:val="none"/>
        </w:rPr>
        <w:t xml:space="preserve">。</w:t>
      </w:r>
      <w:r>
        <w:rPr>
          <w:rFonts w:ascii="宋体" w:hAnsi="宋体"/>
          <w:color w:val="000000"/>
          <w:sz w:val="24"/>
          <w:highlight w:val="none"/>
        </w:rPr>
      </w:r>
      <w:r/>
    </w:p>
    <w:p>
      <w:pPr>
        <w:pStyle w:val="730"/>
        <w:ind w:firstLine="480"/>
        <w:jc w:val="left"/>
        <w:spacing w:line="50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（二）完成项目参与，获取采购文件</w:t>
      </w:r>
      <w:r>
        <w:rPr>
          <w:rFonts w:ascii="宋体" w:hAnsi="宋体" w:cs="宋体"/>
          <w:color w:val="000000"/>
          <w:sz w:val="24"/>
          <w:highlight w:val="none"/>
        </w:rPr>
      </w:r>
      <w:r/>
    </w:p>
    <w:p>
      <w:pPr>
        <w:pStyle w:val="730"/>
        <w:ind w:firstLine="480"/>
        <w:spacing w:line="500" w:lineRule="exact"/>
        <w:shd w:val="clear" w:color="auto" w:fill="ffffff"/>
        <w:widowControl/>
        <w:rPr>
          <w:rFonts w:ascii="宋体" w:hAnsi="宋体"/>
          <w:color w:val="000000"/>
          <w:sz w:val="24"/>
          <w:highlight w:val="none"/>
        </w:rPr>
      </w:pPr>
      <w:r>
        <w:rPr>
          <w:rFonts w:ascii="宋体" w:hAnsi="宋体"/>
          <w:color w:val="000000"/>
          <w:sz w:val="24"/>
          <w:highlight w:val="none"/>
        </w:rPr>
        <w:t xml:space="preserve">供应商可在项目</w:t>
      </w:r>
      <w:r>
        <w:rPr>
          <w:rFonts w:hint="eastAsia" w:ascii="宋体" w:hAnsi="宋体"/>
          <w:color w:val="000000"/>
          <w:sz w:val="24"/>
          <w:highlight w:val="none"/>
        </w:rPr>
        <w:t xml:space="preserve">招标</w:t>
      </w:r>
      <w:r>
        <w:rPr>
          <w:rFonts w:ascii="宋体" w:hAnsi="宋体"/>
          <w:color w:val="000000"/>
          <w:sz w:val="24"/>
          <w:highlight w:val="none"/>
        </w:rPr>
        <w:t xml:space="preserve">公告附件中查看</w:t>
      </w:r>
      <w:r>
        <w:rPr>
          <w:rFonts w:hint="eastAsia" w:ascii="宋体" w:hAnsi="宋体"/>
          <w:color w:val="000000"/>
          <w:sz w:val="24"/>
          <w:highlight w:val="none"/>
        </w:rPr>
        <w:t xml:space="preserve">公开采购文件，</w:t>
      </w:r>
      <w:r>
        <w:rPr>
          <w:rFonts w:ascii="宋体" w:hAnsi="宋体"/>
          <w:color w:val="000000"/>
          <w:sz w:val="24"/>
          <w:highlight w:val="none"/>
        </w:rPr>
        <w:t xml:space="preserve">如确定参加本次</w:t>
      </w:r>
      <w:r>
        <w:rPr>
          <w:rFonts w:hint="eastAsia" w:ascii="宋体" w:hAnsi="宋体"/>
          <w:color w:val="000000"/>
          <w:sz w:val="24"/>
          <w:highlight w:val="none"/>
        </w:rPr>
        <w:t xml:space="preserve">采购</w:t>
      </w:r>
      <w:r>
        <w:rPr>
          <w:rFonts w:ascii="宋体" w:hAnsi="宋体"/>
          <w:color w:val="000000"/>
          <w:sz w:val="24"/>
          <w:highlight w:val="none"/>
        </w:rPr>
        <w:t xml:space="preserve">活动</w:t>
      </w:r>
      <w:r>
        <w:rPr>
          <w:rFonts w:hint="eastAsia" w:ascii="宋体" w:hAnsi="宋体"/>
          <w:color w:val="000000"/>
          <w:sz w:val="24"/>
          <w:highlight w:val="none"/>
        </w:rPr>
        <w:t xml:space="preserve">，</w:t>
      </w:r>
      <w:r>
        <w:rPr>
          <w:rFonts w:ascii="宋体" w:hAnsi="宋体"/>
          <w:color w:val="000000"/>
          <w:sz w:val="24"/>
          <w:highlight w:val="none"/>
        </w:rPr>
        <w:t xml:space="preserve">必须在</w:t>
      </w:r>
      <w:r>
        <w:rPr>
          <w:rFonts w:hint="eastAsia" w:ascii="宋体" w:hAnsi="宋体"/>
          <w:bCs/>
          <w:color w:val="000000"/>
          <w:sz w:val="24"/>
          <w:highlight w:val="none"/>
        </w:rPr>
        <w:t xml:space="preserve">采购文件提供期限</w:t>
      </w:r>
      <w:r>
        <w:rPr>
          <w:rFonts w:ascii="宋体" w:hAnsi="宋体"/>
          <w:color w:val="000000"/>
          <w:sz w:val="24"/>
          <w:highlight w:val="none"/>
        </w:rPr>
        <w:t xml:space="preserve">内</w:t>
      </w:r>
      <w:r>
        <w:rPr>
          <w:rFonts w:hint="eastAsia" w:ascii="宋体" w:hAnsi="宋体"/>
          <w:color w:val="000000"/>
          <w:sz w:val="24"/>
          <w:highlight w:val="none"/>
        </w:rPr>
        <w:t xml:space="preserve">从</w:t>
      </w:r>
      <w:r>
        <w:rPr>
          <w:rFonts w:hint="eastAsia" w:ascii="宋体" w:hAnsi="宋体"/>
          <w:bCs/>
          <w:color w:val="000000"/>
          <w:sz w:val="24"/>
          <w:highlight w:val="none"/>
        </w:rPr>
        <w:t xml:space="preserve">“苏采云”系统</w:t>
      </w:r>
      <w:r>
        <w:rPr>
          <w:rFonts w:ascii="宋体" w:hAnsi="宋体"/>
          <w:color w:val="000000"/>
          <w:sz w:val="24"/>
          <w:highlight w:val="none"/>
        </w:rPr>
        <w:t xml:space="preserve">中下载文件（“项目参与”——“</w:t>
      </w:r>
      <w:r>
        <w:rPr>
          <w:rFonts w:hint="eastAsia" w:ascii="宋体" w:hAnsi="宋体"/>
          <w:color w:val="000000"/>
          <w:sz w:val="24"/>
          <w:highlight w:val="none"/>
        </w:rPr>
        <w:t xml:space="preserve">采购项目参与</w:t>
      </w:r>
      <w:r>
        <w:rPr>
          <w:rFonts w:ascii="宋体" w:hAnsi="宋体"/>
          <w:color w:val="000000"/>
          <w:sz w:val="24"/>
          <w:highlight w:val="none"/>
        </w:rPr>
        <w:t xml:space="preserve">”找到需要获取</w:t>
      </w:r>
      <w:r>
        <w:rPr>
          <w:rFonts w:hint="eastAsia" w:ascii="宋体" w:hAnsi="宋体"/>
          <w:color w:val="000000"/>
          <w:sz w:val="24"/>
          <w:highlight w:val="none"/>
        </w:rPr>
        <w:t xml:space="preserve">采购文件</w:t>
      </w:r>
      <w:r>
        <w:rPr>
          <w:rFonts w:ascii="宋体" w:hAnsi="宋体"/>
          <w:color w:val="000000"/>
          <w:sz w:val="24"/>
          <w:highlight w:val="none"/>
        </w:rPr>
        <w:t xml:space="preserve">的项目</w:t>
      </w:r>
      <w:r>
        <w:rPr>
          <w:rFonts w:hint="eastAsia" w:ascii="宋体" w:hAnsi="宋体"/>
          <w:color w:val="000000"/>
          <w:sz w:val="24"/>
          <w:highlight w:val="none"/>
        </w:rPr>
        <w:t xml:space="preserve">，</w:t>
      </w:r>
      <w:r>
        <w:rPr>
          <w:rFonts w:ascii="宋体" w:hAnsi="宋体"/>
          <w:color w:val="000000"/>
          <w:sz w:val="24"/>
          <w:highlight w:val="none"/>
        </w:rPr>
        <w:t xml:space="preserve">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t xml:space="preserve">完成项目</w:t>
      </w:r>
      <w:r>
        <w:rPr>
          <w:rFonts w:hint="eastAsia" w:ascii="宋体" w:hAnsi="宋体"/>
          <w:color w:val="000000"/>
          <w:sz w:val="24"/>
          <w:highlight w:val="none"/>
        </w:rPr>
        <w:t xml:space="preserve">参与，将</w:t>
      </w:r>
      <w:r>
        <w:rPr>
          <w:rFonts w:hint="eastAsia" w:ascii="宋体" w:hAnsi="宋体"/>
          <w:bCs/>
          <w:color w:val="000000"/>
          <w:sz w:val="24"/>
          <w:highlight w:val="none"/>
        </w:rPr>
        <w:t xml:space="preserve">“苏采云”系统</w:t>
      </w:r>
      <w:r>
        <w:rPr>
          <w:rFonts w:hint="eastAsia" w:ascii="宋体" w:hAnsi="宋体"/>
          <w:color w:val="000000"/>
          <w:sz w:val="24"/>
          <w:highlight w:val="none"/>
        </w:rPr>
        <w:t xml:space="preserve">中</w:t>
      </w:r>
      <w:r>
        <w:rPr>
          <w:rFonts w:ascii="宋体" w:hAnsi="宋体"/>
          <w:color w:val="000000"/>
          <w:sz w:val="24"/>
          <w:highlight w:val="none"/>
        </w:rPr>
        <w:t xml:space="preserve">下载的</w:t>
      </w:r>
      <w:r>
        <w:rPr>
          <w:rFonts w:hint="eastAsia" w:ascii="宋体" w:hAnsi="宋体"/>
          <w:color w:val="000000"/>
          <w:sz w:val="24"/>
          <w:highlight w:val="none"/>
        </w:rPr>
        <w:t xml:space="preserve">采购文件（后缀名为“.kedt”）</w:t>
      </w:r>
      <w:r>
        <w:rPr>
          <w:rFonts w:ascii="宋体" w:hAnsi="宋体"/>
          <w:color w:val="000000"/>
          <w:sz w:val="24"/>
          <w:highlight w:val="none"/>
        </w:rPr>
        <w:t xml:space="preserve">导入到“政府采购客户端”</w:t>
      </w:r>
      <w:r>
        <w:rPr>
          <w:rFonts w:hint="eastAsia" w:ascii="宋体" w:hAnsi="宋体"/>
          <w:color w:val="000000"/>
          <w:sz w:val="24"/>
          <w:highlight w:val="none"/>
        </w:rPr>
        <w:t xml:space="preserve">，</w:t>
      </w:r>
      <w:r>
        <w:rPr>
          <w:rFonts w:ascii="宋体" w:hAnsi="宋体"/>
          <w:color w:val="000000"/>
          <w:sz w:val="24"/>
          <w:highlight w:val="none"/>
        </w:rPr>
        <w:t xml:space="preserve">离线按要求</w:t>
      </w:r>
      <w:r>
        <w:rPr>
          <w:rFonts w:hint="eastAsia" w:ascii="宋体" w:hAnsi="宋体"/>
          <w:color w:val="000000"/>
          <w:sz w:val="24"/>
          <w:highlight w:val="none"/>
        </w:rPr>
        <w:t xml:space="preserve">编制</w:t>
      </w:r>
      <w:r>
        <w:rPr>
          <w:rFonts w:ascii="宋体" w:hAnsi="宋体"/>
          <w:color w:val="000000"/>
          <w:sz w:val="24"/>
          <w:highlight w:val="none"/>
        </w:rPr>
        <w:t xml:space="preserve">并加密</w:t>
      </w:r>
      <w:r>
        <w:rPr>
          <w:rFonts w:hint="eastAsia" w:ascii="宋体" w:hAnsi="宋体"/>
          <w:color w:val="000000"/>
          <w:sz w:val="24"/>
          <w:highlight w:val="none"/>
        </w:rPr>
        <w:t xml:space="preserve">投标</w:t>
      </w:r>
      <w:r>
        <w:rPr>
          <w:rFonts w:ascii="宋体" w:hAnsi="宋体"/>
          <w:color w:val="000000"/>
          <w:sz w:val="24"/>
          <w:highlight w:val="none"/>
        </w:rPr>
        <w:t xml:space="preserve">文件</w:t>
      </w:r>
      <w:r>
        <w:rPr>
          <w:rFonts w:hint="eastAsia" w:ascii="宋体" w:hAnsi="宋体"/>
          <w:color w:val="000000"/>
          <w:sz w:val="24"/>
          <w:highlight w:val="none"/>
        </w:rPr>
        <w:t xml:space="preserve">（使用“CA数字证书”），</w:t>
      </w:r>
      <w:r>
        <w:rPr>
          <w:rFonts w:ascii="宋体" w:hAnsi="宋体"/>
          <w:color w:val="000000"/>
          <w:sz w:val="24"/>
          <w:highlight w:val="none"/>
        </w:rPr>
        <w:t xml:space="preserve">导出加密的</w:t>
      </w:r>
      <w:r>
        <w:rPr>
          <w:rFonts w:hint="eastAsia" w:ascii="宋体" w:hAnsi="宋体"/>
          <w:color w:val="000000"/>
          <w:sz w:val="24"/>
          <w:highlight w:val="none"/>
        </w:rPr>
        <w:t xml:space="preserve">投标</w:t>
      </w:r>
      <w:r>
        <w:rPr>
          <w:rFonts w:ascii="宋体" w:hAnsi="宋体"/>
          <w:color w:val="000000"/>
          <w:sz w:val="24"/>
          <w:highlight w:val="none"/>
        </w:rPr>
        <w:t xml:space="preserve">文件</w:t>
      </w:r>
      <w:r>
        <w:rPr>
          <w:rFonts w:hint="eastAsia" w:ascii="宋体" w:hAnsi="宋体"/>
          <w:color w:val="000000"/>
          <w:sz w:val="24"/>
          <w:highlight w:val="none"/>
        </w:rPr>
        <w:t xml:space="preserve">（后缀名为zip，不得超过150M）并在</w:t>
      </w:r>
      <w:r>
        <w:rPr>
          <w:rFonts w:hint="eastAsia" w:ascii="宋体" w:hAnsi="宋体"/>
          <w:bCs/>
          <w:color w:val="000000"/>
          <w:sz w:val="24"/>
          <w:highlight w:val="none"/>
        </w:rPr>
        <w:t xml:space="preserve">“苏采云”系统</w:t>
      </w:r>
      <w:r>
        <w:rPr>
          <w:rFonts w:ascii="宋体" w:hAnsi="宋体"/>
          <w:color w:val="000000"/>
          <w:sz w:val="24"/>
          <w:highlight w:val="none"/>
        </w:rPr>
        <w:t xml:space="preserve">上传该加密的</w:t>
      </w:r>
      <w:r>
        <w:rPr>
          <w:rFonts w:hint="eastAsia" w:ascii="宋体" w:hAnsi="宋体"/>
          <w:color w:val="000000"/>
          <w:sz w:val="24"/>
          <w:highlight w:val="none"/>
        </w:rPr>
        <w:t xml:space="preserve">投标</w:t>
      </w:r>
      <w:r>
        <w:rPr>
          <w:rFonts w:ascii="宋体" w:hAnsi="宋体"/>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t xml:space="preserve">对</w:t>
      </w:r>
      <w:r>
        <w:rPr>
          <w:rFonts w:hint="eastAsia" w:ascii="宋体" w:hAnsi="宋体"/>
          <w:color w:val="000000"/>
          <w:sz w:val="24"/>
          <w:highlight w:val="none"/>
        </w:rPr>
        <w:t xml:space="preserve">采购文件</w:t>
      </w:r>
      <w:r>
        <w:rPr>
          <w:rFonts w:ascii="宋体" w:hAnsi="宋体"/>
          <w:color w:val="000000"/>
          <w:sz w:val="24"/>
          <w:highlight w:val="none"/>
        </w:rPr>
        <w:t xml:space="preserve">各项内容做出实质性响应</w:t>
      </w:r>
      <w:r>
        <w:rPr>
          <w:rFonts w:hint="eastAsia" w:ascii="宋体" w:hAnsi="宋体"/>
          <w:color w:val="000000"/>
          <w:sz w:val="24"/>
          <w:highlight w:val="none"/>
        </w:rPr>
        <w:t xml:space="preserve">，</w:t>
      </w:r>
      <w:r>
        <w:rPr>
          <w:rFonts w:ascii="宋体" w:hAnsi="宋体"/>
          <w:color w:val="000000"/>
          <w:sz w:val="24"/>
          <w:highlight w:val="none"/>
        </w:rPr>
        <w:t xml:space="preserve">否则其</w:t>
      </w:r>
      <w:r>
        <w:rPr>
          <w:rFonts w:hint="eastAsia" w:ascii="宋体" w:hAnsi="宋体"/>
          <w:color w:val="000000"/>
          <w:sz w:val="24"/>
          <w:highlight w:val="none"/>
        </w:rPr>
        <w:t xml:space="preserve">投标</w:t>
      </w:r>
      <w:r>
        <w:rPr>
          <w:rFonts w:ascii="宋体" w:hAnsi="宋体"/>
          <w:color w:val="000000"/>
          <w:sz w:val="24"/>
          <w:highlight w:val="none"/>
        </w:rPr>
        <w:t xml:space="preserve">文件无效</w:t>
      </w:r>
      <w:r>
        <w:rPr>
          <w:rFonts w:hint="eastAsia" w:ascii="宋体" w:hAnsi="宋体"/>
          <w:color w:val="000000"/>
          <w:sz w:val="24"/>
          <w:highlight w:val="none"/>
        </w:rPr>
        <w:t xml:space="preserve">。</w:t>
      </w:r>
      <w:r>
        <w:rPr>
          <w:rFonts w:ascii="宋体" w:hAnsi="宋体"/>
          <w:color w:val="000000"/>
          <w:sz w:val="24"/>
          <w:highlight w:val="none"/>
        </w:rPr>
      </w:r>
      <w:r/>
    </w:p>
    <w:p>
      <w:pPr>
        <w:pStyle w:val="730"/>
        <w:ind w:firstLine="480"/>
        <w:spacing w:line="500" w:lineRule="exact"/>
        <w:tabs>
          <w:tab w:val="left" w:pos="900" w:leader="none"/>
        </w:tabs>
        <w:rPr>
          <w:rFonts w:ascii="宋体" w:hAnsi="宋体"/>
          <w:bCs/>
          <w:color w:val="000000"/>
          <w:sz w:val="24"/>
          <w:highlight w:val="none"/>
        </w:rPr>
      </w:pPr>
      <w:r>
        <w:rPr>
          <w:rFonts w:hint="eastAsia" w:ascii="宋体" w:hAnsi="宋体"/>
          <w:bCs/>
          <w:color w:val="000000"/>
          <w:sz w:val="24"/>
          <w:highlight w:val="none"/>
        </w:rPr>
        <w:t xml:space="preserve">（三）有关本次采购的事项若存在变动或修改，敬请及时关注普信国际工程咨询有限公司在“江苏政府采购网”发布的更正公告。</w:t>
      </w:r>
      <w:r>
        <w:rPr>
          <w:rFonts w:ascii="宋体" w:hAnsi="宋体"/>
          <w:bCs/>
          <w:color w:val="000000"/>
          <w:sz w:val="24"/>
          <w:highlight w:val="none"/>
        </w:rPr>
      </w:r>
      <w:r/>
    </w:p>
    <w:p>
      <w:pPr>
        <w:pStyle w:val="730"/>
        <w:ind w:firstLine="480"/>
        <w:spacing w:line="500" w:lineRule="exact"/>
        <w:tabs>
          <w:tab w:val="left" w:pos="900" w:leader="none"/>
        </w:tabs>
        <w:rPr>
          <w:rFonts w:ascii="宋体" w:hAnsi="宋体"/>
          <w:bCs/>
          <w:color w:val="000000"/>
          <w:sz w:val="24"/>
          <w:highlight w:val="none"/>
          <w:shd w:val="clear" w:color="ffffff" w:fill="d9d9d9"/>
        </w:rPr>
      </w:pPr>
      <w:r>
        <w:rPr>
          <w:rFonts w:hint="eastAsia" w:ascii="宋体" w:hAnsi="宋体"/>
          <w:bCs/>
          <w:color w:val="000000"/>
          <w:sz w:val="24"/>
          <w:highlight w:val="none"/>
        </w:rPr>
        <w:t xml:space="preserve">（四）本次采购不收取投标保证金。</w:t>
      </w:r>
      <w:r>
        <w:rPr>
          <w:rFonts w:ascii="宋体" w:hAnsi="宋体"/>
          <w:bCs/>
          <w:color w:val="000000"/>
          <w:sz w:val="24"/>
          <w:highlight w:val="none"/>
          <w:shd w:val="clear" w:color="ffffff" w:fill="d9d9d9"/>
        </w:rPr>
      </w:r>
      <w:r/>
    </w:p>
    <w:p>
      <w:pPr>
        <w:pStyle w:val="730"/>
        <w:ind w:firstLine="480"/>
        <w:spacing w:line="500" w:lineRule="exact"/>
        <w:tabs>
          <w:tab w:val="left" w:pos="900" w:leader="none"/>
        </w:tabs>
        <w:rPr>
          <w:rFonts w:ascii="宋体" w:hAnsi="宋体"/>
          <w:b/>
          <w:color w:val="000000"/>
          <w:sz w:val="24"/>
          <w:highlight w:val="none"/>
        </w:rPr>
      </w:pPr>
      <w:r>
        <w:rPr>
          <w:rFonts w:hint="eastAsia" w:ascii="宋体" w:hAnsi="宋体"/>
          <w:bCs/>
          <w:color w:val="000000"/>
          <w:sz w:val="24"/>
          <w:highlight w:val="none"/>
        </w:rPr>
        <w:t xml:space="preserve">（五）纸质投标文件：</w:t>
      </w:r>
      <w:r>
        <w:rPr>
          <w:rFonts w:hint="eastAsia" w:ascii="宋体" w:hAnsi="宋体"/>
          <w:b/>
          <w:color w:val="000000"/>
          <w:sz w:val="24"/>
          <w:highlight w:val="none"/>
        </w:rPr>
        <w:t xml:space="preserve">本项目为不见面开标，投标人无需递交纸质投标文件至现场，中标后中标供应商需向采购代理机构提供中标的采购包与电子投标文件完全一致的签章的纸质投标文件并在封面加盖单位公章（2份）。</w:t>
      </w:r>
      <w:r>
        <w:rPr>
          <w:rFonts w:ascii="宋体" w:hAnsi="宋体"/>
          <w:b/>
          <w:color w:val="000000"/>
          <w:sz w:val="24"/>
          <w:highlight w:val="none"/>
        </w:rPr>
      </w:r>
      <w:r/>
    </w:p>
    <w:p>
      <w:pPr>
        <w:pStyle w:val="730"/>
        <w:ind w:firstLine="480"/>
        <w:spacing w:line="500" w:lineRule="exact"/>
        <w:tabs>
          <w:tab w:val="left" w:pos="900" w:leader="none"/>
        </w:tabs>
        <w:rPr>
          <w:rFonts w:ascii="宋体" w:hAnsi="宋体"/>
          <w:bCs/>
          <w:color w:val="000000"/>
          <w:sz w:val="24"/>
          <w:highlight w:val="none"/>
        </w:rPr>
      </w:pPr>
      <w:r>
        <w:rPr>
          <w:rFonts w:hint="eastAsia" w:ascii="宋体" w:hAnsi="宋体"/>
          <w:bCs/>
          <w:color w:val="000000"/>
          <w:sz w:val="24"/>
          <w:highlight w:val="none"/>
        </w:rPr>
        <w:t xml:space="preserve">（六）本招标文件中涉及的盖章部分均可使用CA签章。</w:t>
      </w:r>
      <w:r>
        <w:rPr>
          <w:rFonts w:ascii="宋体" w:hAnsi="宋体"/>
          <w:bCs/>
          <w:color w:val="000000"/>
          <w:sz w:val="24"/>
          <w:highlight w:val="none"/>
        </w:rPr>
      </w:r>
      <w:r/>
    </w:p>
    <w:p>
      <w:pPr>
        <w:pStyle w:val="730"/>
        <w:ind w:firstLine="720"/>
        <w:spacing w:line="360" w:lineRule="auto"/>
        <w:rPr>
          <w:rFonts w:ascii="Arial" w:hAnsi="Arial" w:eastAsia="宋体"/>
          <w:color w:val="000000"/>
          <w:sz w:val="24"/>
          <w:szCs w:val="24"/>
          <w:highlight w:val="none"/>
        </w:rPr>
      </w:pPr>
      <w:r/>
      <w:bookmarkStart w:id="0" w:name="_Toc120614211"/>
      <w:r>
        <w:rPr>
          <w:rFonts w:ascii="Arial" w:hAnsi="Arial" w:eastAsia="宋体"/>
          <w:color w:val="000000"/>
          <w:sz w:val="24"/>
          <w:szCs w:val="24"/>
          <w:highlight w:val="none"/>
        </w:rPr>
      </w:r>
      <w:r/>
    </w:p>
    <w:p>
      <w:pPr>
        <w:pStyle w:val="730"/>
        <w:rPr>
          <w:rFonts w:ascii="宋体" w:hAnsi="宋体" w:eastAsia="宋体" w:cs="宋体"/>
          <w:color w:val="000000"/>
          <w:sz w:val="36"/>
          <w:szCs w:val="36"/>
          <w:highlight w:val="none"/>
        </w:rPr>
      </w:pPr>
      <w:r>
        <w:rPr>
          <w:rFonts w:hint="eastAsia" w:ascii="宋体" w:hAnsi="宋体" w:eastAsia="宋体" w:cs="宋体"/>
          <w:color w:val="000000"/>
          <w:sz w:val="36"/>
          <w:szCs w:val="36"/>
          <w:highlight w:val="none"/>
        </w:rPr>
        <w:br w:type="page" w:clear="all"/>
      </w:r>
      <w:r>
        <w:rPr>
          <w:rFonts w:ascii="宋体" w:hAnsi="宋体" w:eastAsia="宋体" w:cs="宋体"/>
          <w:color w:val="000000"/>
          <w:sz w:val="36"/>
          <w:szCs w:val="36"/>
          <w:highlight w:val="none"/>
        </w:rPr>
      </w:r>
      <w:r/>
    </w:p>
    <w:p>
      <w:pPr>
        <w:pStyle w:val="730"/>
        <w:jc w:val="center"/>
        <w:spacing w:line="360" w:lineRule="auto"/>
        <w:widowControl/>
        <w:rPr>
          <w:rFonts w:ascii="宋体" w:hAnsi="宋体" w:eastAsia="宋体" w:cs="宋体"/>
          <w:b/>
          <w:bCs/>
          <w:color w:val="000000"/>
          <w:sz w:val="28"/>
          <w:szCs w:val="28"/>
          <w:highlight w:val="none"/>
        </w:rPr>
      </w:pPr>
      <w:r>
        <w:rPr>
          <w:rFonts w:hint="eastAsia" w:ascii="宋体" w:hAnsi="宋体" w:eastAsia="宋体" w:cs="宋体"/>
          <w:color w:val="000000"/>
          <w:sz w:val="36"/>
          <w:szCs w:val="36"/>
          <w:highlight w:val="none"/>
        </w:rPr>
        <w:t xml:space="preserve">第二章  </w:t>
      </w:r>
      <w:bookmarkEnd w:id="0"/>
      <w:r/>
      <w:bookmarkStart w:id="1" w:name="_Toc120614213"/>
      <w:r/>
      <w:bookmarkStart w:id="2" w:name="_Toc20823274"/>
      <w:r/>
      <w:bookmarkStart w:id="3" w:name="_Toc16938518"/>
      <w:r/>
      <w:bookmarkStart w:id="4" w:name="_Toc513029202"/>
      <w:r>
        <w:rPr>
          <w:rFonts w:hint="eastAsia" w:ascii="宋体" w:hAnsi="宋体" w:eastAsia="宋体" w:cs="宋体"/>
          <w:color w:val="000000"/>
          <w:sz w:val="36"/>
          <w:szCs w:val="36"/>
          <w:highlight w:val="none"/>
        </w:rPr>
        <w:t xml:space="preserve">投标人须知</w:t>
      </w:r>
      <w:bookmarkEnd w:id="1"/>
      <w:r/>
      <w:bookmarkEnd w:id="2"/>
      <w:r/>
      <w:bookmarkEnd w:id="3"/>
      <w:r/>
      <w:bookmarkEnd w:id="4"/>
      <w:r>
        <w:rPr>
          <w:rFonts w:ascii="宋体" w:hAnsi="宋体" w:eastAsia="宋体" w:cs="宋体"/>
          <w:b/>
          <w:bCs/>
          <w:color w:val="000000"/>
          <w:sz w:val="28"/>
          <w:szCs w:val="28"/>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5" w:name="_Toc16938519"/>
      <w:r/>
      <w:bookmarkStart w:id="6" w:name="_Toc20823275"/>
      <w:r/>
      <w:bookmarkStart w:id="7" w:name="_Toc120614214"/>
      <w:r/>
      <w:bookmarkStart w:id="8" w:name="_Toc513029203"/>
      <w:r>
        <w:rPr>
          <w:rFonts w:hint="eastAsia" w:ascii="宋体" w:hAnsi="宋体" w:cs="宋体"/>
          <w:color w:val="000000"/>
          <w:sz w:val="30"/>
          <w:szCs w:val="30"/>
          <w:highlight w:val="none"/>
          <w:lang w:eastAsia="zh-CN"/>
        </w:rPr>
        <w:t xml:space="preserve">一、总则</w:t>
      </w:r>
      <w:bookmarkEnd w:id="5"/>
      <w:r/>
      <w:bookmarkEnd w:id="6"/>
      <w:r/>
      <w:bookmarkEnd w:id="7"/>
      <w:r/>
      <w:bookmarkEnd w:id="8"/>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9" w:name="_Hlt16619475"/>
      <w:r/>
      <w:bookmarkEnd w:id="9"/>
      <w:r/>
      <w:bookmarkStart w:id="10" w:name="_Toc513029204"/>
      <w:r/>
      <w:bookmarkStart w:id="11" w:name="_Toc16938520"/>
      <w:r/>
      <w:bookmarkStart w:id="12" w:name="_Toc20823276"/>
      <w:r>
        <w:rPr>
          <w:rFonts w:hint="eastAsia" w:ascii="宋体" w:hAnsi="宋体" w:eastAsia="宋体" w:cs="宋体"/>
          <w:bCs w:val="0"/>
          <w:color w:val="000000"/>
          <w:highlight w:val="none"/>
          <w:lang w:eastAsia="zh-CN"/>
        </w:rPr>
        <w:t xml:space="preserve">1.招标方式</w:t>
      </w:r>
      <w:bookmarkEnd w:id="10"/>
      <w:r/>
      <w:bookmarkEnd w:id="11"/>
      <w:r/>
      <w:bookmarkEnd w:id="12"/>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1.1本次招标采取公开招标方式，本招标文件仅适用于招标公告中所述项目。</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3" w:name="_Toc513029205"/>
      <w:r/>
      <w:bookmarkStart w:id="14" w:name="_Toc16938521"/>
      <w:r/>
      <w:bookmarkStart w:id="15" w:name="_Toc20823277"/>
      <w:r>
        <w:rPr>
          <w:rFonts w:hint="eastAsia" w:ascii="宋体" w:hAnsi="宋体" w:eastAsia="宋体" w:cs="宋体"/>
          <w:bCs w:val="0"/>
          <w:color w:val="000000"/>
          <w:highlight w:val="none"/>
          <w:lang w:eastAsia="zh-CN"/>
        </w:rPr>
        <w:t xml:space="preserve">2.</w:t>
      </w:r>
      <w:bookmarkEnd w:id="13"/>
      <w:r/>
      <w:bookmarkEnd w:id="14"/>
      <w:r/>
      <w:bookmarkEnd w:id="15"/>
      <w:r>
        <w:rPr>
          <w:rFonts w:hint="eastAsia" w:ascii="宋体" w:hAnsi="宋体" w:eastAsia="宋体" w:cs="宋体"/>
          <w:bCs w:val="0"/>
          <w:color w:val="000000"/>
          <w:highlight w:val="none"/>
          <w:lang w:eastAsia="zh-CN"/>
        </w:rPr>
        <w:t xml:space="preserve">采购人、采购代理机构、投标人、联合体</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6" w:name="_Toc513029206"/>
      <w:r/>
      <w:bookmarkStart w:id="17" w:name="_Toc16938522"/>
      <w:r/>
      <w:bookmarkStart w:id="18" w:name="_Toc20823278"/>
      <w:r>
        <w:rPr>
          <w:rFonts w:hint="eastAsia" w:ascii="宋体" w:hAnsi="宋体" w:eastAsia="宋体" w:cs="宋体"/>
          <w:bCs w:val="0"/>
          <w:color w:val="000000"/>
          <w:highlight w:val="none"/>
          <w:lang w:eastAsia="zh-CN"/>
        </w:rPr>
        <w:t xml:space="preserve">3.适用法律</w:t>
      </w:r>
      <w:bookmarkEnd w:id="16"/>
      <w:r/>
      <w:bookmarkEnd w:id="17"/>
      <w:r/>
      <w:bookmarkEnd w:id="18"/>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9" w:name="_Toc462564067"/>
      <w:r/>
      <w:bookmarkStart w:id="20" w:name="_Toc16938523"/>
      <w:r/>
      <w:bookmarkStart w:id="21" w:name="_Toc20823279"/>
      <w:r/>
      <w:bookmarkStart w:id="22" w:name="_Toc513029207"/>
      <w:r>
        <w:rPr>
          <w:rFonts w:hint="eastAsia" w:ascii="宋体" w:hAnsi="宋体" w:eastAsia="宋体" w:cs="宋体"/>
          <w:bCs w:val="0"/>
          <w:color w:val="000000"/>
          <w:highlight w:val="none"/>
          <w:lang w:eastAsia="zh-CN"/>
        </w:rPr>
        <w:t xml:space="preserve">4.投标费用</w:t>
      </w:r>
      <w:bookmarkEnd w:id="19"/>
      <w:r/>
      <w:bookmarkEnd w:id="20"/>
      <w:r/>
      <w:bookmarkEnd w:id="21"/>
      <w:r/>
      <w:bookmarkEnd w:id="22"/>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投标人应自行承担所有与参加投标有关的费用，无论投标过程中的做法和结果如何，普信国际工程咨询有限公司在任何情况下均无义务和责任承担这些费用。</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4.2本项目采购代理服务费由中标人支付</w:t>
      </w:r>
      <w:r>
        <w:rPr>
          <w:rFonts w:hint="eastAsia" w:ascii="宋体" w:hAnsi="宋体" w:eastAsia="宋体" w:cs="宋体"/>
          <w:bCs/>
          <w:color w:val="000000"/>
          <w:sz w:val="24"/>
          <w:highlight w:val="none"/>
        </w:rPr>
        <w:t xml:space="preserve">。本项目代理费以预算金额为计算基数，</w:t>
      </w:r>
      <w:r>
        <w:rPr>
          <w:rFonts w:hint="eastAsia" w:ascii="宋体" w:hAnsi="宋体"/>
          <w:color w:val="000000"/>
          <w:sz w:val="24"/>
          <w:highlight w:val="none"/>
          <w:u w:val="none"/>
        </w:rPr>
        <w:t xml:space="preserve">按照差额定律累进计费方式</w:t>
      </w:r>
      <w:r>
        <w:rPr>
          <w:rFonts w:hint="eastAsia" w:ascii="宋体" w:hAnsi="宋体"/>
          <w:color w:val="000000"/>
          <w:sz w:val="24"/>
          <w:highlight w:val="none"/>
          <w:u w:val="none"/>
          <w:lang w:val="en-US" w:eastAsia="zh-CN"/>
        </w:rPr>
        <w:t xml:space="preserve">打六折</w:t>
      </w:r>
      <w:r>
        <w:rPr>
          <w:rFonts w:hint="eastAsia" w:ascii="宋体" w:hAnsi="宋体"/>
          <w:color w:val="000000"/>
          <w:sz w:val="24"/>
          <w:highlight w:val="none"/>
          <w:u w:val="none"/>
        </w:rPr>
        <w:t xml:space="preserve">计算</w:t>
      </w:r>
      <w:r>
        <w:rPr>
          <w:rFonts w:hint="eastAsia" w:ascii="宋体" w:hAnsi="宋体"/>
          <w:color w:val="000000"/>
          <w:sz w:val="24"/>
          <w:highlight w:val="none"/>
          <w:u w:val="none"/>
          <w:lang w:eastAsia="zh-CN"/>
        </w:rPr>
        <w:t xml:space="preserve">，</w:t>
      </w:r>
      <w:r>
        <w:rPr>
          <w:rFonts w:hint="eastAsia" w:ascii="宋体" w:hAnsi="宋体"/>
          <w:color w:val="000000"/>
          <w:sz w:val="24"/>
          <w:highlight w:val="none"/>
          <w:u w:val="none"/>
        </w:rPr>
        <w:t xml:space="preserve">标准如下</w:t>
      </w:r>
      <w:r>
        <w:rPr>
          <w:rFonts w:hint="eastAsia" w:ascii="宋体" w:hAnsi="宋体" w:eastAsia="宋体"/>
          <w:color w:val="000000"/>
          <w:sz w:val="24"/>
          <w:highlight w:val="none"/>
          <w:u w:val="none"/>
          <w:lang w:eastAsia="zh-CN"/>
        </w:rPr>
        <w:t xml:space="preserve">：</w:t>
      </w:r>
      <w:r>
        <w:rPr>
          <w:rFonts w:hint="eastAsia" w:ascii="宋体" w:hAnsi="宋体"/>
          <w:color w:val="000000"/>
          <w:sz w:val="24"/>
          <w:highlight w:val="none"/>
          <w:u w:val="none"/>
        </w:rPr>
        <w:t xml:space="preserve">金额100万元以下的部分</w:t>
      </w:r>
      <w:r>
        <w:rPr>
          <w:rFonts w:hint="eastAsia" w:ascii="宋体" w:hAnsi="宋体" w:eastAsia="宋体"/>
          <w:color w:val="000000"/>
          <w:sz w:val="24"/>
          <w:highlight w:val="none"/>
          <w:u w:val="none"/>
          <w:lang w:eastAsia="zh-CN"/>
        </w:rPr>
        <w:t xml:space="preserve">，</w:t>
      </w:r>
      <w:r>
        <w:rPr>
          <w:rFonts w:hint="eastAsia" w:ascii="宋体" w:hAnsi="宋体"/>
          <w:color w:val="000000"/>
          <w:sz w:val="24"/>
          <w:highlight w:val="none"/>
          <w:u w:val="none"/>
        </w:rPr>
        <w:t xml:space="preserve">服务类采购费率1.50%</w:t>
      </w:r>
      <w:r>
        <w:rPr>
          <w:rFonts w:hint="eastAsia" w:ascii="宋体" w:hAnsi="宋体"/>
          <w:color w:val="000000"/>
          <w:sz w:val="24"/>
          <w:highlight w:val="none"/>
          <w:u w:val="none"/>
          <w:lang w:eastAsia="zh-CN"/>
        </w:rPr>
        <w:t xml:space="preserve">，</w:t>
      </w:r>
      <w:r>
        <w:rPr>
          <w:rFonts w:hint="eastAsia" w:ascii="宋体" w:hAnsi="宋体"/>
          <w:color w:val="000000"/>
          <w:sz w:val="24"/>
          <w:highlight w:val="none"/>
          <w:u w:val="none"/>
        </w:rPr>
        <w:t xml:space="preserve">金额100万元</w:t>
      </w:r>
      <w:r>
        <w:rPr>
          <w:rFonts w:hint="eastAsia" w:ascii="宋体" w:hAnsi="宋体"/>
          <w:color w:val="000000"/>
          <w:sz w:val="24"/>
          <w:highlight w:val="none"/>
          <w:u w:val="none"/>
          <w:lang w:val="en-US" w:eastAsia="zh-CN"/>
        </w:rPr>
        <w:t xml:space="preserve">-500万元</w:t>
      </w:r>
      <w:r>
        <w:rPr>
          <w:rFonts w:hint="eastAsia" w:ascii="宋体" w:hAnsi="宋体"/>
          <w:color w:val="000000"/>
          <w:sz w:val="24"/>
          <w:highlight w:val="none"/>
          <w:u w:val="none"/>
        </w:rPr>
        <w:t xml:space="preserve">的部分</w:t>
      </w:r>
      <w:r>
        <w:rPr>
          <w:rFonts w:hint="eastAsia" w:ascii="宋体" w:hAnsi="宋体" w:eastAsia="宋体"/>
          <w:color w:val="000000"/>
          <w:sz w:val="24"/>
          <w:highlight w:val="none"/>
          <w:u w:val="none"/>
          <w:lang w:eastAsia="zh-CN"/>
        </w:rPr>
        <w:t xml:space="preserve">，</w:t>
      </w:r>
      <w:r>
        <w:rPr>
          <w:rFonts w:hint="eastAsia" w:ascii="宋体" w:hAnsi="宋体"/>
          <w:color w:val="000000"/>
          <w:sz w:val="24"/>
          <w:highlight w:val="none"/>
          <w:u w:val="none"/>
        </w:rPr>
        <w:t xml:space="preserve">服务类采购费率</w:t>
      </w:r>
      <w:r>
        <w:rPr>
          <w:rFonts w:hint="eastAsia" w:ascii="宋体" w:hAnsi="宋体"/>
          <w:color w:val="000000"/>
          <w:sz w:val="24"/>
          <w:highlight w:val="none"/>
          <w:u w:val="none"/>
          <w:lang w:val="en-US" w:eastAsia="zh-CN"/>
        </w:rPr>
        <w:t xml:space="preserve">0.8</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w:t>
      </w:r>
      <w:r>
        <w:rPr>
          <w:rFonts w:hint="eastAsia" w:ascii="宋体" w:hAnsi="宋体"/>
          <w:color w:val="000000"/>
          <w:sz w:val="24"/>
          <w:highlight w:val="none"/>
          <w:u w:val="none"/>
        </w:rPr>
        <w:t xml:space="preserve">金额</w:t>
      </w:r>
      <w:r>
        <w:rPr>
          <w:rFonts w:hint="eastAsia" w:ascii="宋体" w:hAnsi="宋体"/>
          <w:color w:val="000000"/>
          <w:sz w:val="24"/>
          <w:highlight w:val="none"/>
          <w:u w:val="none"/>
          <w:lang w:val="en-US" w:eastAsia="zh-CN"/>
        </w:rPr>
        <w:t xml:space="preserve">5</w:t>
      </w:r>
      <w:r>
        <w:rPr>
          <w:rFonts w:hint="eastAsia" w:ascii="宋体" w:hAnsi="宋体"/>
          <w:color w:val="000000"/>
          <w:sz w:val="24"/>
          <w:highlight w:val="none"/>
          <w:u w:val="none"/>
        </w:rPr>
        <w:t xml:space="preserve">00万元</w:t>
      </w:r>
      <w:r>
        <w:rPr>
          <w:rFonts w:hint="eastAsia" w:ascii="宋体" w:hAnsi="宋体"/>
          <w:color w:val="000000"/>
          <w:sz w:val="24"/>
          <w:highlight w:val="none"/>
          <w:u w:val="none"/>
          <w:lang w:val="en-US" w:eastAsia="zh-CN"/>
        </w:rPr>
        <w:t xml:space="preserve">-1000万元</w:t>
      </w:r>
      <w:r>
        <w:rPr>
          <w:rFonts w:hint="eastAsia" w:ascii="宋体" w:hAnsi="宋体"/>
          <w:color w:val="000000"/>
          <w:sz w:val="24"/>
          <w:highlight w:val="none"/>
          <w:u w:val="none"/>
        </w:rPr>
        <w:t xml:space="preserve">的部分</w:t>
      </w:r>
      <w:r>
        <w:rPr>
          <w:rFonts w:hint="eastAsia" w:ascii="宋体" w:hAnsi="宋体" w:eastAsia="宋体"/>
          <w:color w:val="000000"/>
          <w:sz w:val="24"/>
          <w:highlight w:val="none"/>
          <w:u w:val="none"/>
          <w:lang w:eastAsia="zh-CN"/>
        </w:rPr>
        <w:t xml:space="preserve">，</w:t>
      </w:r>
      <w:r>
        <w:rPr>
          <w:rFonts w:hint="eastAsia" w:ascii="宋体" w:hAnsi="宋体"/>
          <w:color w:val="000000"/>
          <w:sz w:val="24"/>
          <w:highlight w:val="none"/>
          <w:u w:val="none"/>
        </w:rPr>
        <w:t xml:space="preserve">服务类采购费率</w:t>
      </w:r>
      <w:r>
        <w:rPr>
          <w:rFonts w:hint="eastAsia" w:ascii="宋体" w:hAnsi="宋体"/>
          <w:color w:val="000000"/>
          <w:sz w:val="24"/>
          <w:highlight w:val="none"/>
          <w:u w:val="none"/>
          <w:lang w:val="en-US" w:eastAsia="zh-CN"/>
        </w:rPr>
        <w:t xml:space="preserve">0.45</w:t>
      </w:r>
      <w:r>
        <w:rPr>
          <w:rFonts w:hint="eastAsia" w:ascii="宋体" w:hAnsi="宋体"/>
          <w:color w:val="000000"/>
          <w:sz w:val="24"/>
          <w:highlight w:val="none"/>
          <w:u w:val="none"/>
        </w:rPr>
        <w:t xml:space="preserve">%</w:t>
      </w:r>
      <w:r>
        <w:rPr>
          <w:rFonts w:hint="eastAsia" w:ascii="宋体" w:hAnsi="宋体" w:eastAsia="宋体" w:cs="宋体"/>
          <w:bCs/>
          <w:color w:val="000000"/>
          <w:sz w:val="24"/>
          <w:highlight w:val="none"/>
          <w:u w:val="none"/>
        </w:rPr>
        <w:t xml:space="preserve">。</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5.招标文件的约束力</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rPr>
          <w:rFonts w:ascii="宋体" w:hAnsi="宋体" w:eastAsia="宋体" w:cs="宋体"/>
          <w:color w:val="000000"/>
          <w:sz w:val="24"/>
          <w:szCs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23" w:name="_Toc20823281"/>
      <w:r/>
      <w:bookmarkStart w:id="24" w:name="_Toc16938525"/>
      <w:r/>
      <w:bookmarkStart w:id="25" w:name="_Toc513029209"/>
      <w:r/>
      <w:bookmarkStart w:id="26" w:name="_Toc120614215"/>
      <w:r>
        <w:rPr>
          <w:rFonts w:hint="eastAsia" w:ascii="宋体" w:hAnsi="宋体" w:cs="宋体"/>
          <w:color w:val="000000"/>
          <w:sz w:val="30"/>
          <w:szCs w:val="30"/>
          <w:highlight w:val="none"/>
          <w:lang w:eastAsia="zh-CN"/>
        </w:rPr>
        <w:t xml:space="preserve">二、招标文件</w:t>
      </w:r>
      <w:bookmarkEnd w:id="23"/>
      <w:r/>
      <w:bookmarkEnd w:id="24"/>
      <w:r/>
      <w:bookmarkEnd w:id="25"/>
      <w:r/>
      <w:bookmarkEnd w:id="26"/>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27" w:name="_Toc513029210"/>
      <w:r/>
      <w:bookmarkStart w:id="28" w:name="_Toc16938526"/>
      <w:r/>
      <w:bookmarkStart w:id="29" w:name="_Toc20823282"/>
      <w:r>
        <w:rPr>
          <w:rFonts w:hint="eastAsia" w:ascii="宋体" w:hAnsi="宋体" w:eastAsia="宋体" w:cs="宋体"/>
          <w:bCs w:val="0"/>
          <w:color w:val="000000"/>
          <w:highlight w:val="none"/>
          <w:lang w:eastAsia="zh-CN"/>
        </w:rPr>
        <w:t xml:space="preserve">6.招标文件构成</w:t>
      </w:r>
      <w:bookmarkEnd w:id="27"/>
      <w:r/>
      <w:bookmarkEnd w:id="28"/>
      <w:r/>
      <w:bookmarkEnd w:id="29"/>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招标文件由以下部分组成：</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（1）投标邀请函</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（6）投标文件内容与格式</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30" w:name="_Toc462564070"/>
      <w:r/>
      <w:bookmarkStart w:id="31" w:name="_Toc20823283"/>
      <w:r/>
      <w:bookmarkStart w:id="32" w:name="_Toc16938527"/>
      <w:r/>
      <w:bookmarkStart w:id="33" w:name="_Toc513029211"/>
      <w:r>
        <w:rPr>
          <w:rFonts w:hint="eastAsia" w:ascii="宋体" w:hAnsi="宋体" w:eastAsia="宋体" w:cs="宋体"/>
          <w:bCs w:val="0"/>
          <w:color w:val="000000"/>
          <w:highlight w:val="none"/>
          <w:lang w:eastAsia="zh-CN"/>
        </w:rPr>
        <w:t xml:space="preserve">7.招标文件的澄清</w:t>
      </w:r>
      <w:bookmarkEnd w:id="30"/>
      <w:r/>
      <w:bookmarkEnd w:id="31"/>
      <w:r/>
      <w:bookmarkEnd w:id="32"/>
      <w:r/>
      <w:bookmarkEnd w:id="33"/>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34" w:name="_Toc462564071"/>
      <w:r/>
      <w:bookmarkStart w:id="35" w:name="_Toc20823284"/>
      <w:r/>
      <w:bookmarkStart w:id="36" w:name="_Toc513029212"/>
      <w:r/>
      <w:bookmarkStart w:id="37" w:name="_Toc16938528"/>
      <w:r>
        <w:rPr>
          <w:rFonts w:hint="eastAsia" w:ascii="宋体" w:hAnsi="宋体" w:eastAsia="宋体" w:cs="宋体"/>
          <w:bCs w:val="0"/>
          <w:color w:val="000000"/>
          <w:highlight w:val="none"/>
          <w:lang w:eastAsia="zh-CN"/>
        </w:rPr>
        <w:t xml:space="preserve">8.招标文件的修改</w:t>
      </w:r>
      <w:bookmarkEnd w:id="34"/>
      <w:r/>
      <w:bookmarkEnd w:id="35"/>
      <w:r/>
      <w:bookmarkEnd w:id="36"/>
      <w:r/>
      <w:bookmarkEnd w:id="37"/>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8.1采购代理机构可在投标截止时间十五日前对招标文件进行必要的澄清或者修改，不足十五日的，将顺延提交投标文件的截止时间和开标日期。</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8.2</w:t>
      </w:r>
      <w:r>
        <w:rPr>
          <w:rFonts w:hint="eastAsia" w:ascii="宋体" w:hAnsi="宋体" w:eastAsia="宋体" w:cs="宋体"/>
          <w:bCs/>
          <w:color w:val="000000"/>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因投标人未尽注意义务，未及时更新上传投标文件</w:t>
      </w:r>
      <w:r>
        <w:rPr>
          <w:rFonts w:hint="eastAsia" w:ascii="宋体" w:hAnsi="宋体" w:eastAsia="宋体" w:cs="宋体"/>
          <w:color w:val="000000"/>
          <w:sz w:val="24"/>
          <w:szCs w:val="24"/>
          <w:highlight w:val="none"/>
        </w:rPr>
        <w:t xml:space="preserve">或未</w:t>
      </w:r>
      <w:r>
        <w:rPr>
          <w:rFonts w:hint="eastAsia" w:ascii="宋体" w:hAnsi="宋体" w:eastAsia="宋体" w:cs="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eastAsia="宋体" w:cs="宋体"/>
          <w:color w:val="000000"/>
          <w:sz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38" w:name="_Toc120614216"/>
      <w:r/>
      <w:bookmarkStart w:id="39" w:name="_Toc513029213"/>
      <w:r/>
      <w:bookmarkStart w:id="40" w:name="_Toc20823285"/>
      <w:r/>
      <w:bookmarkStart w:id="41" w:name="_Toc462564072"/>
      <w:r/>
      <w:bookmarkStart w:id="42" w:name="_Toc16938529"/>
      <w:r>
        <w:rPr>
          <w:rFonts w:hint="eastAsia" w:ascii="宋体" w:hAnsi="宋体" w:cs="宋体"/>
          <w:color w:val="000000"/>
          <w:sz w:val="30"/>
          <w:szCs w:val="30"/>
          <w:highlight w:val="none"/>
          <w:lang w:eastAsia="zh-CN"/>
        </w:rPr>
        <w:t xml:space="preserve">三、投标文件的编制</w:t>
      </w:r>
      <w:bookmarkEnd w:id="38"/>
      <w:r/>
      <w:bookmarkEnd w:id="39"/>
      <w:r/>
      <w:bookmarkEnd w:id="40"/>
      <w:r/>
      <w:bookmarkEnd w:id="41"/>
      <w:r/>
      <w:bookmarkEnd w:id="42"/>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43" w:name="_Toc16938530"/>
      <w:r/>
      <w:bookmarkStart w:id="44" w:name="_Toc513029214"/>
      <w:r/>
      <w:bookmarkStart w:id="45" w:name="_Toc20823286"/>
      <w:r/>
      <w:bookmarkStart w:id="46" w:name="_Toc462564073"/>
      <w:r>
        <w:rPr>
          <w:rFonts w:hint="eastAsia" w:ascii="宋体" w:hAnsi="宋体" w:eastAsia="宋体" w:cs="宋体"/>
          <w:bCs w:val="0"/>
          <w:color w:val="000000"/>
          <w:highlight w:val="none"/>
          <w:lang w:eastAsia="zh-CN"/>
        </w:rPr>
        <w:t xml:space="preserve">9.投标文件的语言及度量衡单位</w:t>
      </w:r>
      <w:bookmarkEnd w:id="43"/>
      <w:r/>
      <w:bookmarkEnd w:id="44"/>
      <w:r/>
      <w:bookmarkEnd w:id="45"/>
      <w:r/>
      <w:bookmarkEnd w:id="46"/>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000000"/>
          <w:sz w:val="24"/>
          <w:highlight w:val="none"/>
        </w:rPr>
        <w:t xml:space="preserve">简体中文</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除技术性能另有规定外，投标文件所使用的度量衡单位，均须采用国家法定计量单位。</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47" w:name="_Toc16938531"/>
      <w:r/>
      <w:bookmarkStart w:id="48" w:name="_Toc513029215"/>
      <w:r/>
      <w:bookmarkStart w:id="49" w:name="_Toc462564074"/>
      <w:r/>
      <w:bookmarkStart w:id="50" w:name="_Toc20823287"/>
      <w:r>
        <w:rPr>
          <w:rFonts w:hint="eastAsia" w:ascii="宋体" w:hAnsi="宋体" w:eastAsia="宋体" w:cs="宋体"/>
          <w:bCs w:val="0"/>
          <w:color w:val="000000"/>
          <w:highlight w:val="none"/>
          <w:lang w:eastAsia="zh-CN"/>
        </w:rPr>
        <w:t xml:space="preserve">10.投标文件构成</w:t>
      </w:r>
      <w:bookmarkEnd w:id="47"/>
      <w:r/>
      <w:bookmarkEnd w:id="48"/>
      <w:r/>
      <w:bookmarkEnd w:id="49"/>
      <w:r/>
      <w:bookmarkEnd w:id="50"/>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10.2投标人所须提供的相关证明文件和要求以及投标文件的部分格式要求，详见第六章《投标文件内容与格式》。</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10.3如标书制作工具中格式和内容与招标文件不一致的，请以招标文件为准。</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51" w:name="_Hlt26954838"/>
      <w:r/>
      <w:bookmarkEnd w:id="51"/>
      <w:r/>
      <w:bookmarkStart w:id="52" w:name="_Hlt26668975"/>
      <w:r/>
      <w:bookmarkEnd w:id="52"/>
      <w:r/>
      <w:bookmarkStart w:id="53" w:name="_Hlt26670360"/>
      <w:r/>
      <w:bookmarkEnd w:id="53"/>
      <w:r/>
      <w:bookmarkStart w:id="54" w:name="_Toc14577357"/>
      <w:r/>
      <w:bookmarkStart w:id="55" w:name="_Toc513029219"/>
      <w:r/>
      <w:bookmarkStart w:id="56" w:name="_Toc49090509"/>
      <w:r/>
      <w:bookmarkStart w:id="57" w:name="_Toc513029216"/>
      <w:r/>
      <w:bookmarkStart w:id="58" w:name="_Toc14577354"/>
      <w:r/>
      <w:bookmarkStart w:id="59" w:name="_Toc49090507"/>
      <w:r>
        <w:rPr>
          <w:rFonts w:hint="eastAsia" w:ascii="宋体" w:hAnsi="宋体" w:eastAsia="宋体" w:cs="宋体"/>
          <w:bCs w:val="0"/>
          <w:color w:val="000000"/>
          <w:highlight w:val="none"/>
          <w:lang w:eastAsia="zh-CN"/>
        </w:rPr>
        <w:t xml:space="preserve">11.证明投标人及投标标的符合招标文件规定的文件</w:t>
      </w:r>
      <w:bookmarkEnd w:id="54"/>
      <w:r/>
      <w:bookmarkEnd w:id="55"/>
      <w:r/>
      <w:bookmarkEnd w:id="56"/>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bookmarkEnd w:id="57"/>
      <w:r/>
      <w:bookmarkEnd w:id="58"/>
      <w:r/>
      <w:bookmarkEnd w:id="59"/>
      <w:r/>
      <w:bookmarkStart w:id="60" w:name="_Toc14577355"/>
      <w:r/>
      <w:bookmarkStart w:id="61" w:name="_Toc49090508"/>
      <w:r>
        <w:rPr>
          <w:rFonts w:hint="eastAsia" w:ascii="宋体" w:hAnsi="宋体" w:eastAsia="宋体" w:cs="宋体"/>
          <w:bCs/>
          <w:color w:val="000000"/>
          <w:sz w:val="24"/>
          <w:highlight w:val="none"/>
        </w:rPr>
        <w:t xml:space="preserve">11.1投标人应按照法律法规、规章和规范性文件以及招标文件要求提交证明文件，证明其投标标的符合招标文件的规定。</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62" w:name="_Toc14577359"/>
      <w:r/>
      <w:bookmarkStart w:id="63" w:name="_Toc49090510"/>
      <w:r>
        <w:rPr>
          <w:rFonts w:hint="eastAsia" w:ascii="宋体" w:hAnsi="宋体" w:eastAsia="宋体" w:cs="宋体"/>
          <w:bCs w:val="0"/>
          <w:color w:val="000000"/>
          <w:highlight w:val="none"/>
          <w:lang w:eastAsia="zh-CN"/>
        </w:rPr>
        <w:t xml:space="preserve">12.投标函、承诺书和开标一览表</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投标人应按照招标文件中提供的格式完整、正确填写投标函、承诺书和开标一览表。</w:t>
      </w:r>
      <w:r>
        <w:rPr>
          <w:rFonts w:ascii="宋体" w:hAnsi="宋体" w:eastAsia="宋体" w:cs="宋体"/>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13.</w:t>
      </w:r>
      <w:bookmarkEnd w:id="60"/>
      <w:r/>
      <w:bookmarkEnd w:id="61"/>
      <w:r>
        <w:rPr>
          <w:rFonts w:hint="eastAsia" w:ascii="宋体" w:hAnsi="宋体" w:eastAsia="宋体" w:cs="宋体"/>
          <w:bCs w:val="0"/>
          <w:color w:val="000000"/>
          <w:highlight w:val="none"/>
          <w:lang w:eastAsia="zh-CN"/>
        </w:rPr>
        <w:t xml:space="preserve">分项报价表（如有）</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13.1</w:t>
      </w:r>
      <w:r>
        <w:rPr>
          <w:rFonts w:hint="eastAsia" w:ascii="宋体" w:hAnsi="宋体" w:eastAsia="宋体" w:cs="宋体"/>
          <w:color w:val="000000"/>
          <w:sz w:val="24"/>
          <w:highlight w:val="none"/>
        </w:rPr>
        <w:t xml:space="preserve">投</w:t>
      </w:r>
      <w:bookmarkStart w:id="64" w:name="_Hlt26954840"/>
      <w:r/>
      <w:bookmarkEnd w:id="64"/>
      <w:r>
        <w:rPr>
          <w:rFonts w:hint="eastAsia" w:ascii="宋体" w:hAnsi="宋体" w:eastAsia="宋体" w:cs="宋体"/>
          <w:color w:val="000000"/>
          <w:sz w:val="24"/>
          <w:highlight w:val="none"/>
        </w:rPr>
        <w:t xml:space="preserve">标人应按照招标文件规定格式填报</w:t>
      </w:r>
      <w:bookmarkStart w:id="65" w:name="_Hlt26670399"/>
      <w:r/>
      <w:bookmarkEnd w:id="65"/>
      <w:r>
        <w:rPr>
          <w:rFonts w:hint="eastAsia" w:ascii="宋体" w:hAnsi="宋体" w:eastAsia="宋体" w:cs="宋体"/>
          <w:color w:val="000000"/>
          <w:sz w:val="24"/>
          <w:highlight w:val="none"/>
        </w:rPr>
        <w:t xml:space="preserve">报价表。</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13.2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66" w:name="_Hlt26954848"/>
      <w:r/>
      <w:bookmarkEnd w:id="66"/>
      <w:r/>
      <w:bookmarkStart w:id="67" w:name="_Hlt26954842"/>
      <w:r/>
      <w:bookmarkEnd w:id="67"/>
      <w:r/>
      <w:bookmarkStart w:id="68" w:name="_Hlt26670425"/>
      <w:r/>
      <w:bookmarkEnd w:id="68"/>
      <w:r/>
      <w:bookmarkStart w:id="69" w:name="_Hlt26670403"/>
      <w:r/>
      <w:bookmarkEnd w:id="69"/>
      <w:r/>
      <w:bookmarkStart w:id="70" w:name="_Hlt26670482"/>
      <w:r/>
      <w:bookmarkEnd w:id="70"/>
      <w:r/>
      <w:bookmarkStart w:id="71" w:name="_Hlt26954846"/>
      <w:r/>
      <w:bookmarkEnd w:id="71"/>
      <w:r/>
      <w:bookmarkStart w:id="72" w:name="_Hlt26954731"/>
      <w:r/>
      <w:bookmarkEnd w:id="72"/>
      <w:r/>
      <w:bookmarkStart w:id="73" w:name="_Hlt26954844"/>
      <w:r/>
      <w:bookmarkEnd w:id="73"/>
      <w:r/>
      <w:bookmarkStart w:id="74" w:name="_Hlt26668983"/>
      <w:r/>
      <w:bookmarkEnd w:id="74"/>
      <w:r/>
      <w:bookmarkStart w:id="75" w:name="_Hlt26670486"/>
      <w:r/>
      <w:bookmarkEnd w:id="75"/>
      <w:r>
        <w:rPr>
          <w:rFonts w:hint="eastAsia" w:ascii="宋体" w:hAnsi="宋体" w:eastAsia="宋体" w:cs="宋体"/>
          <w:bCs w:val="0"/>
          <w:color w:val="000000"/>
          <w:highlight w:val="none"/>
          <w:lang w:eastAsia="zh-CN"/>
        </w:rPr>
        <w:t xml:space="preserve">14.投标偏离表</w:t>
      </w:r>
      <w:r>
        <w:rPr>
          <w:rFonts w:ascii="宋体" w:hAnsi="宋体" w:eastAsia="宋体" w:cs="宋体"/>
          <w:bCs w:val="0"/>
          <w:color w:val="000000"/>
          <w:highlight w:val="none"/>
          <w:lang w:eastAsia="zh-CN"/>
        </w:rPr>
      </w:r>
      <w:r/>
    </w:p>
    <w:p>
      <w:pPr>
        <w:pStyle w:val="730"/>
        <w:ind w:firstLine="480"/>
        <w:spacing w:line="360" w:lineRule="auto"/>
        <w:tabs>
          <w:tab w:val="left" w:pos="103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投标人可在投标文件中提供认为需要的其他技术文件或说明。</w:t>
      </w:r>
      <w:r>
        <w:rPr>
          <w:rFonts w:ascii="宋体" w:hAnsi="宋体" w:eastAsia="宋体" w:cs="宋体"/>
          <w:color w:val="000000"/>
          <w:sz w:val="24"/>
          <w:highlight w:val="none"/>
          <w:lang w:val="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76" w:name="_Hlt26670489"/>
      <w:r/>
      <w:bookmarkEnd w:id="76"/>
      <w:r/>
      <w:bookmarkStart w:id="77" w:name="_Hlt26954850"/>
      <w:r/>
      <w:bookmarkEnd w:id="77"/>
      <w:r/>
      <w:bookmarkStart w:id="78" w:name="_Hlt26954734"/>
      <w:r/>
      <w:bookmarkEnd w:id="78"/>
      <w:r/>
      <w:bookmarkStart w:id="79" w:name="_Toc49090511"/>
      <w:r/>
      <w:bookmarkStart w:id="80" w:name="_Toc14577360"/>
      <w:r>
        <w:rPr>
          <w:rFonts w:hint="eastAsia" w:ascii="宋体" w:hAnsi="宋体" w:eastAsia="宋体" w:cs="宋体"/>
          <w:bCs w:val="0"/>
          <w:color w:val="000000"/>
          <w:highlight w:val="none"/>
          <w:lang w:eastAsia="zh-CN"/>
        </w:rPr>
        <w:t xml:space="preserve">15.投标有效期</w:t>
      </w:r>
      <w:bookmarkEnd w:id="79"/>
      <w:r/>
      <w:bookmarkEnd w:id="80"/>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投标有效期为招标文件规定的开标之日后</w:t>
      </w:r>
      <w:r>
        <w:rPr>
          <w:rFonts w:hint="eastAsia" w:ascii="宋体" w:hAnsi="宋体" w:eastAsia="宋体" w:cs="宋体"/>
          <w:color w:val="000000"/>
          <w:sz w:val="24"/>
          <w:highlight w:val="none"/>
        </w:rPr>
        <w:t xml:space="preserve">九十（90）天</w:t>
      </w:r>
      <w:r>
        <w:rPr>
          <w:rFonts w:hint="eastAsia" w:ascii="宋体" w:hAnsi="宋体" w:eastAsia="宋体" w:cs="宋体"/>
          <w:bCs/>
          <w:color w:val="000000"/>
          <w:sz w:val="24"/>
          <w:highlight w:val="none"/>
        </w:rPr>
        <w:t xml:space="preserve">。投标有效期比规定短的将被视为未实质性响应招标文件而予以拒绝。</w:t>
      </w:r>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16.投标有效期的延长</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81" w:name="_Hlt26954852"/>
      <w:r/>
      <w:bookmarkEnd w:id="81"/>
      <w:r/>
      <w:bookmarkStart w:id="82" w:name="_Hlt26954739"/>
      <w:r/>
      <w:bookmarkEnd w:id="82"/>
      <w:r/>
      <w:bookmarkStart w:id="83" w:name="_Toc20823296"/>
      <w:r/>
      <w:bookmarkStart w:id="84" w:name="_Toc16938540"/>
      <w:r/>
      <w:bookmarkStart w:id="85" w:name="_Toc120614217"/>
      <w:r/>
      <w:bookmarkStart w:id="86" w:name="_Toc513029224"/>
      <w:r>
        <w:rPr>
          <w:rFonts w:hint="eastAsia" w:ascii="宋体" w:hAnsi="宋体" w:cs="宋体"/>
          <w:color w:val="000000"/>
          <w:sz w:val="30"/>
          <w:szCs w:val="30"/>
          <w:highlight w:val="none"/>
          <w:lang w:eastAsia="zh-CN"/>
        </w:rPr>
        <w:t xml:space="preserve">四、投标文件的递交</w:t>
      </w:r>
      <w:bookmarkEnd w:id="83"/>
      <w:r/>
      <w:bookmarkEnd w:id="84"/>
      <w:r/>
      <w:bookmarkEnd w:id="85"/>
      <w:r/>
      <w:bookmarkEnd w:id="86"/>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87" w:name="_Toc20823297"/>
      <w:r/>
      <w:bookmarkStart w:id="88" w:name="_Toc16938541"/>
      <w:r/>
      <w:bookmarkStart w:id="89" w:name="_Toc513029225"/>
      <w:r/>
      <w:bookmarkStart w:id="90" w:name="_Toc462564084"/>
      <w:r>
        <w:rPr>
          <w:rFonts w:hint="eastAsia" w:ascii="宋体" w:hAnsi="宋体" w:eastAsia="宋体" w:cs="宋体"/>
          <w:bCs w:val="0"/>
          <w:color w:val="000000"/>
          <w:highlight w:val="none"/>
          <w:lang w:eastAsia="zh-CN"/>
        </w:rPr>
        <w:t xml:space="preserve">17.投标文件</w:t>
      </w:r>
      <w:bookmarkEnd w:id="87"/>
      <w:r/>
      <w:bookmarkEnd w:id="88"/>
      <w:r/>
      <w:bookmarkEnd w:id="89"/>
      <w:r/>
      <w:bookmarkEnd w:id="90"/>
      <w:r>
        <w:rPr>
          <w:rFonts w:hint="eastAsia" w:ascii="宋体" w:hAnsi="宋体" w:eastAsia="宋体" w:cs="宋体"/>
          <w:bCs w:val="0"/>
          <w:color w:val="000000"/>
          <w:highlight w:val="none"/>
          <w:lang w:eastAsia="zh-CN"/>
        </w:rPr>
        <w:t xml:space="preserve">的递交</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电子投标文件的递交</w:t>
      </w:r>
      <w:r>
        <w:rPr>
          <w:rFonts w:ascii="宋体" w:hAnsi="宋体" w:eastAsia="宋体" w:cs="宋体"/>
          <w:bCs/>
          <w:color w:val="000000"/>
          <w:sz w:val="24"/>
          <w:highlight w:val="none"/>
        </w:rPr>
      </w:r>
      <w:r/>
    </w:p>
    <w:p>
      <w:pPr>
        <w:pStyle w:val="1181"/>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投标人应当按照《操作手册》的规定，在投标截止时间前制作并上传电子投标文件。</w:t>
      </w:r>
      <w:bookmarkStart w:id="91" w:name="_Toc16938542"/>
      <w:r/>
      <w:bookmarkStart w:id="92" w:name="_Toc20823298"/>
      <w:r/>
      <w:bookmarkStart w:id="93" w:name="_Toc513029226"/>
      <w:r>
        <w:rPr>
          <w:rFonts w:ascii="宋体" w:hAnsi="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18.投标截止</w:t>
      </w:r>
      <w:bookmarkEnd w:id="91"/>
      <w:r/>
      <w:bookmarkEnd w:id="92"/>
      <w:r/>
      <w:bookmarkEnd w:id="93"/>
      <w:r>
        <w:rPr>
          <w:rFonts w:hint="eastAsia" w:ascii="宋体" w:hAnsi="宋体" w:eastAsia="宋体" w:cs="宋体"/>
          <w:bCs w:val="0"/>
          <w:color w:val="000000"/>
          <w:highlight w:val="none"/>
          <w:lang w:eastAsia="zh-CN"/>
        </w:rPr>
        <w:t xml:space="preserve">时间</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bCs/>
          <w:color w:val="000000"/>
          <w:sz w:val="24"/>
          <w:highlight w:val="none"/>
        </w:rPr>
        <w:t xml:space="preserve">投标人上传电子投标文件的时间不得迟于招标公告中规定的投标截止时间。</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Cs/>
          <w:color w:val="000000"/>
          <w:sz w:val="24"/>
          <w:highlight w:val="none"/>
        </w:rPr>
        <w:t xml:space="preserve">采购代理机构可以按照规定，通过更正公告修改投标截止时间，投标人的所有权利和义务以及投标人受制的截止时间均应以延长后新的截止时间为准。</w:t>
      </w:r>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94" w:name="_Toc20823299"/>
      <w:r/>
      <w:bookmarkStart w:id="95" w:name="_Toc513029227"/>
      <w:r/>
      <w:bookmarkStart w:id="96" w:name="_Toc16938543"/>
      <w:r>
        <w:rPr>
          <w:rFonts w:hint="eastAsia" w:ascii="宋体" w:hAnsi="宋体" w:eastAsia="宋体" w:cs="宋体"/>
          <w:bCs w:val="0"/>
          <w:color w:val="000000"/>
          <w:highlight w:val="none"/>
          <w:lang w:eastAsia="zh-CN"/>
        </w:rPr>
        <w:t xml:space="preserve">19.投标文件</w:t>
      </w:r>
      <w:bookmarkEnd w:id="94"/>
      <w:r/>
      <w:bookmarkEnd w:id="95"/>
      <w:r/>
      <w:bookmarkEnd w:id="96"/>
      <w:r>
        <w:rPr>
          <w:rFonts w:hint="eastAsia" w:ascii="宋体" w:hAnsi="宋体" w:eastAsia="宋体" w:cs="宋体"/>
          <w:bCs w:val="0"/>
          <w:color w:val="000000"/>
          <w:highlight w:val="none"/>
          <w:lang w:eastAsia="zh-CN"/>
        </w:rPr>
        <w:t xml:space="preserve">的拒收</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bCs/>
          <w:color w:val="000000"/>
          <w:sz w:val="24"/>
          <w:highlight w:val="none"/>
        </w:rPr>
        <w:t xml:space="preserve">采购代理机构拒绝接收在其规定的投标截止时间后上传的任何投标文件。</w:t>
      </w:r>
      <w:r>
        <w:rPr>
          <w:rFonts w:ascii="宋体" w:hAnsi="宋体" w:eastAsia="宋体" w:cs="宋体"/>
          <w:bCs/>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97" w:name="_Toc20823300"/>
      <w:r/>
      <w:bookmarkStart w:id="98" w:name="_Toc16938544"/>
      <w:r/>
      <w:bookmarkStart w:id="99" w:name="_Toc513029228"/>
      <w:r>
        <w:rPr>
          <w:rFonts w:hint="eastAsia" w:ascii="宋体" w:hAnsi="宋体" w:eastAsia="宋体" w:cs="宋体"/>
          <w:bCs w:val="0"/>
          <w:color w:val="000000"/>
          <w:highlight w:val="none"/>
          <w:lang w:eastAsia="zh-CN"/>
        </w:rPr>
        <w:t xml:space="preserve">20.投标文件的撤回和修改</w:t>
      </w:r>
      <w:bookmarkEnd w:id="97"/>
      <w:r/>
      <w:bookmarkEnd w:id="98"/>
      <w:r/>
      <w:bookmarkEnd w:id="99"/>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.1.1电子投标文件的撤回</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ascii="宋体" w:hAnsi="宋体" w:eastAsia="宋体" w:cs="宋体"/>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rPr>
          <w:rFonts w:ascii="宋体" w:hAnsi="宋体" w:eastAsia="宋体" w:cs="宋体"/>
          <w:bCs/>
          <w:color w:val="000000"/>
          <w:sz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100" w:name="_Toc16938545"/>
      <w:r/>
      <w:bookmarkStart w:id="101" w:name="_Toc513029229"/>
      <w:r/>
      <w:bookmarkStart w:id="102" w:name="_Toc120614218"/>
      <w:r/>
      <w:bookmarkStart w:id="103" w:name="_Toc20823301"/>
      <w:r>
        <w:rPr>
          <w:rFonts w:hint="eastAsia" w:ascii="宋体" w:hAnsi="宋体" w:cs="宋体"/>
          <w:color w:val="000000"/>
          <w:sz w:val="30"/>
          <w:szCs w:val="30"/>
          <w:highlight w:val="none"/>
          <w:lang w:eastAsia="zh-CN"/>
        </w:rPr>
        <w:t xml:space="preserve">五、开标与评标</w:t>
      </w:r>
      <w:bookmarkEnd w:id="100"/>
      <w:r/>
      <w:bookmarkEnd w:id="101"/>
      <w:r/>
      <w:bookmarkEnd w:id="102"/>
      <w:r/>
      <w:bookmarkEnd w:id="103"/>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04" w:name="_Toc513029230"/>
      <w:r/>
      <w:bookmarkStart w:id="105" w:name="_Toc16938546"/>
      <w:r/>
      <w:bookmarkStart w:id="106" w:name="_Toc20823302"/>
      <w:r>
        <w:rPr>
          <w:rFonts w:hint="eastAsia" w:ascii="宋体" w:hAnsi="宋体" w:eastAsia="宋体" w:cs="宋体"/>
          <w:bCs w:val="0"/>
          <w:color w:val="000000"/>
          <w:highlight w:val="none"/>
          <w:lang w:eastAsia="zh-CN"/>
        </w:rPr>
        <w:t xml:space="preserve">21.开标</w:t>
      </w:r>
      <w:bookmarkEnd w:id="104"/>
      <w:r/>
      <w:bookmarkEnd w:id="105"/>
      <w:r/>
      <w:bookmarkEnd w:id="106"/>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highlight w:val="none"/>
        </w:rPr>
      </w:pPr>
      <w:r>
        <w:rPr>
          <w:rFonts w:hint="eastAsia" w:ascii="宋体" w:hAnsi="宋体" w:eastAsia="宋体" w:cs="宋体"/>
          <w:color w:val="000000"/>
          <w:sz w:val="24"/>
          <w:highlight w:val="none"/>
        </w:rPr>
        <w:t xml:space="preserve">21.1</w:t>
      </w:r>
      <w:r>
        <w:rPr>
          <w:rFonts w:hint="eastAsia" w:ascii="宋体" w:hAnsi="宋体" w:eastAsia="宋体" w:cs="宋体"/>
          <w:bCs/>
          <w:color w:val="000000"/>
          <w:sz w:val="24"/>
          <w:highlight w:val="none"/>
        </w:rPr>
        <w:t xml:space="preserve">采购代理机构将在招标公告中规定的时间和地点组织公开开标</w:t>
      </w:r>
      <w:r>
        <w:rPr>
          <w:rFonts w:hint="eastAsia" w:ascii="宋体" w:hAnsi="宋体" w:eastAsia="宋体" w:cs="宋体"/>
          <w:color w:val="000000"/>
          <w:sz w:val="24"/>
          <w:szCs w:val="24"/>
          <w:highlight w:val="none"/>
        </w:rPr>
        <w:t xml:space="preserve">。投标人应当按照《操作手册》的规定，参加开标活动和在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规定的时间内对投标文件进行解密。</w:t>
      </w:r>
      <w:r>
        <w:rPr>
          <w:rFonts w:ascii="宋体" w:hAnsi="宋体" w:eastAsia="宋体" w:cs="宋体"/>
          <w:color w:val="000000"/>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21.2开标仪式由采购代理机构组织。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将自动对项目进行开标，并宣布各投标人名称和投标价格。</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21.3投标人在开标过程中涉及的投标文件解密、开标结果确认等工作，应按照《操作手册》规定执行。</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21.4投标人如果对开标过程和开标记录有疑义，应当根据《操作手册》规定提出，如</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中《开标记录表》宣布后5分钟内未提出的，视同认可开标结果。</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07" w:name="_Toc513029231"/>
      <w:r/>
      <w:bookmarkStart w:id="108" w:name="_Toc20823303"/>
      <w:r/>
      <w:bookmarkStart w:id="109" w:name="_Toc16938547"/>
      <w:r>
        <w:rPr>
          <w:rFonts w:hint="eastAsia" w:ascii="宋体" w:hAnsi="宋体" w:eastAsia="宋体" w:cs="宋体"/>
          <w:bCs w:val="0"/>
          <w:color w:val="000000"/>
          <w:highlight w:val="none"/>
          <w:lang w:eastAsia="zh-CN"/>
        </w:rPr>
        <w:t xml:space="preserve">22.评标委员会</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22.1开标后，采购代理机构将立即组织评标委员会（以下简称评委会）进行评标。</w:t>
      </w:r>
      <w:r>
        <w:rPr>
          <w:rFonts w:ascii="宋体" w:hAnsi="宋体" w:eastAsia="宋体" w:cs="宋体"/>
          <w:b/>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22.2评委会依法组建，且人员构成符合政府采购有关规定。</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22.3评委会独立工作，负责评审所有投标文件并确定中标候选人。</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23.评标过程的保密与公正</w:t>
      </w:r>
      <w:bookmarkEnd w:id="107"/>
      <w:r/>
      <w:bookmarkEnd w:id="108"/>
      <w:r/>
      <w:bookmarkEnd w:id="109"/>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23.1凡</w:t>
      </w:r>
      <w:r>
        <w:rPr>
          <w:rFonts w:hint="eastAsia" w:ascii="宋体" w:hAnsi="宋体" w:eastAsia="宋体" w:cs="宋体"/>
          <w:bCs/>
          <w:color w:val="000000"/>
          <w:sz w:val="24"/>
          <w:highlight w:val="none"/>
        </w:rPr>
        <w:t xml:space="preserve">与审查、澄清、评价和比较投标的有关资料以及授标建议等，采购人、评委、采购代理机构均不得向投标人或与评标无关的其他人员透露。</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23.3采购代理机构和评标委员会不向未中标的投标人解释未中标原因，也不公布评标过程中的相关细节。</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23.4采用综合评分法的项目，未中标的投标人可于中标结果公告发布后通过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查看自己的评审得分及排序情况。</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10" w:name="_Toc513029232"/>
      <w:r/>
      <w:bookmarkStart w:id="111" w:name="_Toc20823304"/>
      <w:r/>
      <w:bookmarkStart w:id="112" w:name="_Toc16938548"/>
      <w:r>
        <w:rPr>
          <w:rFonts w:hint="eastAsia" w:ascii="宋体" w:hAnsi="宋体" w:eastAsia="宋体" w:cs="宋体"/>
          <w:bCs w:val="0"/>
          <w:color w:val="000000"/>
          <w:highlight w:val="none"/>
          <w:lang w:eastAsia="zh-CN"/>
        </w:rPr>
        <w:t xml:space="preserve">24.投标文件的澄清</w:t>
      </w:r>
      <w:bookmarkEnd w:id="110"/>
      <w:r/>
      <w:bookmarkEnd w:id="111"/>
      <w:r/>
      <w:bookmarkEnd w:id="112"/>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向供应商发出“澄清要求函”，接到“澄清要求函”的投标人应当按照要求在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24.3接到评委会澄清、说明和补正要求的投标人如未按规定及时作出澄清、说明和补正，其风险由投标人自行承担。</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13" w:name="_Toc513029233"/>
      <w:r/>
      <w:bookmarkStart w:id="114" w:name="_Toc20823305"/>
      <w:r/>
      <w:bookmarkStart w:id="115" w:name="_Toc16938549"/>
      <w:r>
        <w:rPr>
          <w:rFonts w:hint="eastAsia" w:ascii="宋体" w:hAnsi="宋体" w:eastAsia="宋体" w:cs="宋体"/>
          <w:bCs w:val="0"/>
          <w:color w:val="000000"/>
          <w:highlight w:val="none"/>
          <w:lang w:eastAsia="zh-CN"/>
        </w:rPr>
        <w:t xml:space="preserve">25.对投标文件的初审</w:t>
      </w:r>
      <w:bookmarkEnd w:id="113"/>
      <w:r/>
      <w:bookmarkEnd w:id="114"/>
      <w:r/>
      <w:bookmarkEnd w:id="115"/>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25.1.1资格审查：依据法律法规、委托代理协议和招标文件的规定，由采购代理机构对投标文件中的资格证明文件进行审查。</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采购代理机构在进行资格审查的同时，将</w:t>
      </w:r>
      <w:r>
        <w:rPr>
          <w:rFonts w:hint="eastAsia" w:ascii="宋体" w:hAnsi="宋体" w:eastAsia="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中国政府采购网（www.ccgp.gov.cn）</w:t>
      </w:r>
      <w:r>
        <w:rPr>
          <w:rFonts w:hint="eastAsia" w:ascii="宋体" w:hAnsi="宋体" w:eastAsia="宋体" w:cs="宋体"/>
          <w:bCs/>
          <w:color w:val="000000"/>
          <w:sz w:val="24"/>
          <w:szCs w:val="24"/>
          <w:highlight w:val="none"/>
        </w:rPr>
        <w:t xml:space="preserve">查询投标供应商在投标截止时间之前，是否被列入</w:t>
      </w:r>
      <w:r>
        <w:rPr>
          <w:rFonts w:hint="eastAsia" w:ascii="宋体" w:hAnsi="宋体" w:eastAsia="宋体" w:cs="宋体"/>
          <w:color w:val="000000"/>
          <w:sz w:val="24"/>
          <w:szCs w:val="24"/>
          <w:highlight w:val="none"/>
        </w:rPr>
        <w:t xml:space="preserve">失信被执行人、重大税收违法失信主体、政府采购严重违法失信行为记录名单，</w:t>
      </w:r>
      <w:r>
        <w:rPr>
          <w:rFonts w:hint="eastAsia" w:ascii="宋体" w:hAnsi="宋体" w:eastAsia="宋体" w:cs="宋体"/>
          <w:bCs/>
          <w:color w:val="000000"/>
          <w:sz w:val="24"/>
          <w:highlight w:val="none"/>
        </w:rPr>
        <w:t xml:space="preserve">以确定投标供应商是否具备投标资格。</w:t>
      </w:r>
      <w:r>
        <w:rPr>
          <w:rFonts w:hint="eastAsia" w:ascii="宋体" w:hAnsi="宋体" w:eastAsia="宋体" w:cs="宋体"/>
          <w:color w:val="000000"/>
          <w:sz w:val="24"/>
          <w:szCs w:val="24"/>
          <w:highlight w:val="none"/>
        </w:rPr>
        <w:t xml:space="preserve">查询结果留存并归档。</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szCs w:val="24"/>
          <w:highlight w:val="none"/>
        </w:rPr>
        <w:t xml:space="preserve">本项目不接受联合投标</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25.1.3未通过资格审查或符合性审查的投标人，将在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中告知未通过资格审查或符合性审查的原因，评标结束后，将不再告知未通过资格审查和符合性审查的原因。</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color w:val="000000"/>
          <w:sz w:val="24"/>
          <w:highlight w:val="none"/>
        </w:rPr>
      </w:r>
      <w:r/>
    </w:p>
    <w:p>
      <w:pPr>
        <w:pStyle w:val="73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rPr>
          <w:rFonts w:ascii="宋体" w:hAnsi="宋体" w:eastAsia="宋体" w:cs="宋体"/>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25.5</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告知投标人，调整后的价格应对投标人具有约束力。如果投标人不确认或不接受修正后的价格，则其投标将被拒绝，其投标无效。</w:t>
      </w:r>
      <w:r>
        <w:rPr>
          <w:rFonts w:ascii="宋体" w:hAnsi="宋体" w:eastAsia="宋体" w:cs="宋体"/>
          <w:bCs/>
          <w:color w:val="000000"/>
          <w:sz w:val="24"/>
          <w:highlight w:val="none"/>
        </w:rPr>
      </w:r>
      <w:r/>
    </w:p>
    <w:p>
      <w:pPr>
        <w:pStyle w:val="730"/>
        <w:ind w:firstLine="420"/>
        <w:spacing w:line="360" w:lineRule="auto"/>
        <w:rPr>
          <w:rFonts w:ascii="宋体" w:hAnsi="宋体" w:eastAsia="宋体" w:cs="宋体"/>
          <w:color w:val="000000"/>
          <w:sz w:val="24"/>
          <w:highlight w:val="none"/>
        </w:rPr>
      </w:pPr>
      <w:r/>
      <w:bookmarkStart w:id="116" w:name="_Toc16938550"/>
      <w:r/>
      <w:bookmarkStart w:id="117" w:name="_Toc20823306"/>
      <w:r/>
      <w:bookmarkStart w:id="118" w:name="_Toc513029234"/>
      <w:r>
        <w:rPr>
          <w:rFonts w:hint="eastAsia" w:ascii="宋体" w:hAnsi="宋体" w:eastAsia="宋体" w:cs="宋体"/>
          <w:color w:val="000000"/>
          <w:sz w:val="24"/>
          <w:highlight w:val="none"/>
        </w:rPr>
        <w:t xml:space="preserve">25.6投标人在开、评标全过程中应保持通信畅通，及时登录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查阅、答复相关信息，并安排专人随时接受与代理机构及评标委员会的相关询问。</w:t>
      </w:r>
      <w:r>
        <w:rPr>
          <w:rFonts w:ascii="宋体" w:hAnsi="宋体" w:eastAsia="宋体" w:cs="宋体"/>
          <w:color w:val="000000"/>
          <w:sz w:val="24"/>
          <w:highlight w:val="none"/>
        </w:rPr>
      </w:r>
      <w:r/>
    </w:p>
    <w:p>
      <w:pPr>
        <w:pStyle w:val="730"/>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25.7评审过程中出现下列情形之一的，评审委员会应当启动异常低价投标（响应）审查程序：</w:t>
      </w:r>
      <w:r>
        <w:rPr>
          <w:rFonts w:ascii="宋体" w:hAnsi="宋体" w:eastAsia="宋体" w:cs="宋体"/>
          <w:color w:val="000000"/>
          <w:sz w:val="24"/>
          <w:highlight w:val="none"/>
        </w:rPr>
      </w:r>
      <w:r/>
    </w:p>
    <w:p>
      <w:pPr>
        <w:pStyle w:val="730"/>
        <w:ind w:firstLine="4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投标（响应）报价低于全部通过符合性审查供应商投标（响应）报价平均值</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%的，即投标（响应）报价&lt;全部通过符合性审查供应商投标（响应）报价平均值×</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4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投标（响应）报价低于通过符合性审查的次低报价供应商投标（响应）报价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%的，即投标（响应）报价&lt;通过符合性审查的次低报价供应商投标（响应）报价×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4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投标（响应）报价低于采购项目最高限价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%的，即投标（响应）报价&lt;采购项目最高限价×</w:t>
      </w:r>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0"/>
        <w:ind w:firstLine="4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评审委员会基于专业判断，认为供应商报价过低，有可能影响产品质量或者不能诚信履约的其他情形。 </w:t>
      </w:r>
      <w:r>
        <w:rPr>
          <w:rFonts w:hint="eastAsia" w:ascii="宋体" w:hAnsi="宋体" w:eastAsia="宋体" w:cs="宋体"/>
          <w:color w:val="000000"/>
          <w:sz w:val="24"/>
          <w:highlight w:val="none"/>
        </w:rPr>
      </w:r>
      <w:r/>
    </w:p>
    <w:p>
      <w:pPr>
        <w:pStyle w:val="1096"/>
        <w:ind w:firstLine="422"/>
        <w:keepLines w:val="0"/>
        <w:keepNext w:val="0"/>
        <w:spacing w:before="0" w:after="0" w:line="360" w:lineRule="auto"/>
        <w:rPr>
          <w:rFonts w:hint="eastAsia" w:ascii="宋体" w:hAnsi="宋体" w:eastAsia="宋体" w:cs="宋体"/>
          <w:b w:val="0"/>
          <w:bCs/>
          <w:color w:val="000000"/>
          <w:sz w:val="24"/>
          <w:szCs w:val="22"/>
          <w:highlight w:val="none"/>
          <w:lang w:val="en-US" w:eastAsia="zh-CN" w:bidi="ar-SA"/>
        </w:rPr>
      </w:pPr>
      <w:r>
        <w:rPr>
          <w:rFonts w:hint="eastAsia" w:ascii="宋体" w:hAnsi="宋体" w:eastAsia="宋体" w:cs="宋体"/>
          <w:b w:val="0"/>
          <w:bCs/>
          <w:color w:val="000000"/>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color w:val="000000"/>
          <w:sz w:val="24"/>
          <w:szCs w:val="22"/>
          <w:highlight w:val="none"/>
          <w:lang w:val="en-US" w:eastAsia="zh-CN" w:bidi="ar-SA"/>
        </w:rPr>
      </w:r>
      <w:r/>
    </w:p>
    <w:p>
      <w:pPr>
        <w:pStyle w:val="1096"/>
        <w:ind w:firstLine="422"/>
        <w:keepLines w:val="0"/>
        <w:keepNext w:val="0"/>
        <w:spacing w:before="0" w:after="0" w:line="360" w:lineRule="auto"/>
        <w:rPr>
          <w:rFonts w:ascii="宋体" w:hAnsi="宋体" w:eastAsia="宋体" w:cs="宋体"/>
          <w:color w:val="000000"/>
          <w:sz w:val="24"/>
          <w:highlight w:val="none"/>
        </w:rPr>
      </w:pPr>
      <w:r>
        <w:rPr>
          <w:rFonts w:hint="eastAsia" w:ascii="宋体" w:hAnsi="宋体" w:eastAsia="宋体" w:cs="宋体"/>
          <w:b w:val="0"/>
          <w:bCs/>
          <w:color w:val="000000"/>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26</w:t>
      </w:r>
      <w:bookmarkEnd w:id="116"/>
      <w:r/>
      <w:bookmarkEnd w:id="117"/>
      <w:r/>
      <w:bookmarkEnd w:id="118"/>
      <w:r>
        <w:rPr>
          <w:rFonts w:hint="eastAsia" w:ascii="宋体" w:hAnsi="宋体" w:eastAsia="宋体" w:cs="宋体"/>
          <w:bCs w:val="0"/>
          <w:color w:val="000000"/>
          <w:highlight w:val="none"/>
          <w:lang w:eastAsia="zh-CN"/>
        </w:rPr>
        <w:t xml:space="preserve">.无效投标条款和废标条款</w:t>
      </w:r>
      <w:r>
        <w:rPr>
          <w:rFonts w:ascii="宋体" w:hAnsi="宋体" w:eastAsia="宋体" w:cs="宋体"/>
          <w:bCs w:val="0"/>
          <w:color w:val="000000"/>
          <w:highlight w:val="none"/>
          <w:lang w:eastAsia="zh-CN"/>
        </w:rPr>
      </w:r>
      <w:r/>
    </w:p>
    <w:p>
      <w:pPr>
        <w:pStyle w:val="730"/>
        <w:ind w:left="479"/>
        <w:spacing w:line="360" w:lineRule="auto"/>
        <w:rPr>
          <w:rFonts w:ascii="宋体" w:hAnsi="宋体" w:eastAsia="宋体" w:cs="宋体"/>
          <w:bCs/>
          <w:color w:val="000000"/>
          <w:sz w:val="24"/>
          <w:highlight w:val="none"/>
        </w:rPr>
      </w:pPr>
      <w:r/>
      <w:bookmarkStart w:id="119" w:name="_Toc20823307"/>
      <w:r/>
      <w:bookmarkStart w:id="120" w:name="_Toc513029235"/>
      <w:r/>
      <w:bookmarkStart w:id="121" w:name="_Toc16938551"/>
      <w:r>
        <w:rPr>
          <w:rFonts w:hint="eastAsia" w:ascii="宋体" w:hAnsi="宋体" w:eastAsia="宋体" w:cs="宋体"/>
          <w:bCs/>
          <w:color w:val="000000"/>
          <w:sz w:val="24"/>
          <w:highlight w:val="none"/>
        </w:rPr>
        <w:t xml:space="preserve">26.1无效投标条款</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w:t>
      </w:r>
      <w:r>
        <w:rPr>
          <w:rFonts w:hint="eastAsia" w:ascii="宋体" w:hAnsi="宋体" w:eastAsia="宋体" w:cs="宋体"/>
          <w:color w:val="000000"/>
          <w:sz w:val="24"/>
          <w:szCs w:val="24"/>
          <w:highlight w:val="none"/>
        </w:rPr>
        <w:t xml:space="preserve">未按《“苏采云”系统供应商操作手册》进行正确操作的。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26.1.2投标人在“苏采云”系统规定的时间内未成功解密电子投标文件的。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w:t>
      </w:r>
      <w:r>
        <w:rPr>
          <w:rFonts w:hint="eastAsia" w:ascii="宋体" w:hAnsi="宋体" w:eastAsia="宋体" w:cs="宋体"/>
          <w:bCs/>
          <w:color w:val="000000"/>
          <w:sz w:val="24"/>
          <w:highlight w:val="none"/>
        </w:rPr>
        <w:t xml:space="preserve">投标人未按照招标文件要求上传电子投标文件、</w:t>
      </w:r>
      <w:r>
        <w:rPr>
          <w:rFonts w:hint="eastAsia" w:ascii="宋体" w:hAnsi="宋体" w:eastAsia="宋体" w:cs="宋体"/>
          <w:bCs/>
          <w:color w:val="000000"/>
          <w:sz w:val="24"/>
          <w:szCs w:val="24"/>
          <w:highlight w:val="none"/>
        </w:rPr>
        <w:t xml:space="preserve">电子投标文件未按规定期限投标的，纸质投标文件（如有）未按规定的期限、地点送达的。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w:t>
      </w:r>
      <w:r>
        <w:rPr>
          <w:rFonts w:hint="eastAsia" w:ascii="宋体" w:hAnsi="宋体" w:eastAsia="宋体" w:cs="宋体"/>
          <w:bCs/>
          <w:color w:val="000000"/>
          <w:sz w:val="24"/>
          <w:highlight w:val="none"/>
        </w:rPr>
        <w:t xml:space="preserve">投标人的</w:t>
      </w:r>
      <w:r>
        <w:rPr>
          <w:rFonts w:hint="eastAsia" w:ascii="宋体" w:hAnsi="宋体" w:eastAsia="宋体" w:cs="宋体"/>
          <w:bCs/>
          <w:color w:val="000000"/>
          <w:sz w:val="24"/>
          <w:szCs w:val="24"/>
          <w:highlight w:val="none"/>
        </w:rPr>
        <w:t xml:space="preserve">电子投标文件未按招标文件要求签章的。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26.1.5投标人的被授权代表无授权委托书或授权委托日期晚于投标截止日期的。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26.1.6投标人不具备招标文件中规定的资格要求或未按招标文件规定的要求提供资格证明文件的。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w:t>
      </w:r>
      <w:r>
        <w:rPr>
          <w:rFonts w:hint="eastAsia" w:ascii="宋体" w:hAnsi="宋体" w:eastAsia="宋体" w:cs="宋体"/>
          <w:bCs/>
          <w:color w:val="000000"/>
          <w:sz w:val="24"/>
          <w:highlight w:val="none"/>
        </w:rPr>
        <w:t xml:space="preserve">同一投标人提交两种（含两种）以上不同的投标报价的。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sz w:val="24"/>
          <w:highlight w:val="none"/>
        </w:rPr>
        <w:t xml:space="preserve">或查询“信用中国”网站、</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bCs/>
          <w:color w:val="000000"/>
          <w:sz w:val="24"/>
          <w:highlight w:val="none"/>
        </w:rPr>
        <w:t xml:space="preserve">后发现投标人存在其他不符合《中华人民共和国政府采购法》第二十二条规定条件的信用记录。</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26.1.9投标文件未按招标文件规定的内容和要求填写的。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w:t>
      </w:r>
      <w:r>
        <w:rPr>
          <w:rFonts w:hint="eastAsia" w:ascii="宋体" w:hAnsi="宋体" w:eastAsia="宋体" w:cs="宋体"/>
          <w:bCs/>
          <w:color w:val="000000"/>
          <w:sz w:val="24"/>
          <w:highlight w:val="none"/>
        </w:rPr>
        <w:t xml:space="preserve">投标人的</w:t>
      </w:r>
      <w:r>
        <w:rPr>
          <w:rFonts w:hint="eastAsia" w:ascii="宋体" w:hAnsi="宋体" w:eastAsia="宋体" w:cs="宋体"/>
          <w:bCs/>
          <w:color w:val="000000"/>
          <w:sz w:val="24"/>
          <w:szCs w:val="24"/>
          <w:highlight w:val="none"/>
        </w:rPr>
        <w:t xml:space="preserve">项目（标项、标段）投标总价超过本项目（标项、标段）预算或最高限价的。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26.1.11未通过符合性审查的。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26.1.12投标文件含有采购人不能接受的附加条件的。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26.1.13电子投标文件图片、字迹模糊不清、无法辨认导致无法评审的。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26.1.14投标文件中有招标文件未允许提供的选择性内容。</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26.1.15</w:t>
      </w:r>
      <w:r>
        <w:rPr>
          <w:rFonts w:hint="eastAsia" w:ascii="宋体" w:hAnsi="宋体" w:eastAsia="宋体" w:cs="宋体"/>
          <w:bCs/>
          <w:color w:val="000000"/>
          <w:sz w:val="24"/>
          <w:szCs w:val="24"/>
          <w:highlight w:val="none"/>
        </w:rPr>
        <w:t xml:space="preserve">不同投标人委托同一单位或者个人办理投标事宜的。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26.1.16</w:t>
      </w:r>
      <w:r>
        <w:rPr>
          <w:rFonts w:hint="eastAsia" w:ascii="宋体" w:hAnsi="宋体" w:eastAsia="宋体" w:cs="宋体"/>
          <w:bCs/>
          <w:color w:val="000000"/>
          <w:sz w:val="24"/>
          <w:szCs w:val="24"/>
          <w:highlight w:val="none"/>
        </w:rPr>
        <w:t xml:space="preserve">不同投标人的单位负责人为同一人或者存在直接控股、管理关系的。</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26.1.17不同投标人的投标文件的目录序号、排版格式、文字风格等存在明显的相似性或一致性，特征显示由同一单位或同一个人编制的。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26.1.20</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26.1.21</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shd w:val="clear" w:color="ffffff" w:fill="d9d9d9"/>
        </w:rPr>
      </w:pPr>
      <w:r>
        <w:rPr>
          <w:rFonts w:hint="eastAsia" w:ascii="宋体" w:hAnsi="宋体" w:eastAsia="宋体" w:cs="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000000"/>
          <w:sz w:val="24"/>
          <w:highlight w:val="none"/>
        </w:rPr>
        <w:t xml:space="preserve">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在评标现场</w:t>
      </w:r>
      <w:r>
        <w:rPr>
          <w:rFonts w:hint="eastAsia" w:ascii="宋体" w:hAnsi="宋体" w:eastAsia="宋体" w:cs="宋体"/>
          <w:color w:val="000000"/>
          <w:sz w:val="24"/>
          <w:szCs w:val="24"/>
          <w:highlight w:val="none"/>
        </w:rPr>
        <w:t xml:space="preserve">）给定的</w:t>
      </w:r>
      <w:r>
        <w:rPr>
          <w:rFonts w:hint="eastAsia" w:ascii="宋体" w:hAnsi="宋体" w:eastAsia="宋体" w:cs="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000000"/>
          <w:sz w:val="24"/>
          <w:highlight w:val="none"/>
        </w:rPr>
        <w:t xml:space="preserve">，评标委员会应当将其作为无效投标处理。</w:t>
      </w:r>
      <w:r>
        <w:rPr>
          <w:rFonts w:ascii="宋体" w:hAnsi="宋体" w:eastAsia="宋体" w:cs="宋体"/>
          <w:bCs/>
          <w:color w:val="000000"/>
          <w:sz w:val="24"/>
          <w:highlight w:val="none"/>
          <w:shd w:val="clear" w:color="ffffff" w:fill="d9d9d9"/>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26.1.23投标文件内容不全或不符合招标文件中规定的其他实质性要求和条件的。</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26.1.24其他法律法规及本招标文件规定的无效投标的情形。</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26.2.1符合专业条件的供应商或者对招标文件作实质响应的供应商不足三家的。</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26.2.2出现影响采购公正的违法、违规行为的。</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26.2.3因重大变故，采购任务取消的。</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26.2.4评标委员会认定招标文件存在歧义、重大缺陷导致评审工作无法进行。</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 因</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故障原因造成开标不成功的；</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26.2.6投标人的报价均超过采购预算，采购人不能支付的。</w:t>
      </w:r>
      <w:r>
        <w:rPr>
          <w:rFonts w:ascii="宋体" w:hAnsi="宋体" w:eastAsia="宋体" w:cs="宋体"/>
          <w:bCs/>
          <w:color w:val="000000"/>
          <w:sz w:val="24"/>
          <w:highlight w:val="none"/>
        </w:rPr>
      </w:r>
      <w:r/>
    </w:p>
    <w:p>
      <w:pPr>
        <w:pStyle w:val="730"/>
        <w:ind w:left="479"/>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投标截止时间结束后参加投标的供应商不足三家的处理：</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eastAsia="宋体" w:cs="宋体"/>
          <w:bCs/>
          <w:color w:val="000000"/>
          <w:sz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122" w:name="_Toc120614219"/>
      <w:r>
        <w:rPr>
          <w:rFonts w:hint="eastAsia" w:ascii="宋体" w:hAnsi="宋体" w:cs="宋体"/>
          <w:color w:val="000000"/>
          <w:sz w:val="30"/>
          <w:szCs w:val="30"/>
          <w:highlight w:val="none"/>
          <w:lang w:eastAsia="zh-CN"/>
        </w:rPr>
        <w:t xml:space="preserve">六、</w:t>
      </w:r>
      <w:bookmarkEnd w:id="119"/>
      <w:r/>
      <w:bookmarkEnd w:id="120"/>
      <w:r/>
      <w:bookmarkEnd w:id="121"/>
      <w:r>
        <w:rPr>
          <w:rFonts w:hint="eastAsia" w:ascii="宋体" w:hAnsi="宋体" w:cs="宋体"/>
          <w:color w:val="000000"/>
          <w:sz w:val="30"/>
          <w:szCs w:val="30"/>
          <w:highlight w:val="none"/>
          <w:lang w:eastAsia="zh-CN"/>
        </w:rPr>
        <w:t xml:space="preserve">定标</w:t>
      </w:r>
      <w:bookmarkEnd w:id="122"/>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Start w:id="123" w:name="_Toc513029238"/>
      <w:r/>
      <w:bookmarkStart w:id="124" w:name="_Toc20823310"/>
      <w:r/>
      <w:bookmarkStart w:id="125" w:name="_Toc16938554"/>
      <w:r>
        <w:rPr>
          <w:rFonts w:hint="eastAsia" w:ascii="宋体" w:hAnsi="宋体" w:eastAsia="宋体" w:cs="宋体"/>
          <w:bCs w:val="0"/>
          <w:color w:val="000000"/>
          <w:highlight w:val="none"/>
          <w:lang w:eastAsia="zh-CN"/>
        </w:rPr>
        <w:t xml:space="preserve">27</w:t>
      </w:r>
      <w:bookmarkEnd w:id="123"/>
      <w:r>
        <w:rPr>
          <w:rFonts w:hint="eastAsia" w:ascii="宋体" w:hAnsi="宋体" w:eastAsia="宋体" w:cs="宋体"/>
          <w:bCs w:val="0"/>
          <w:color w:val="000000"/>
          <w:highlight w:val="none"/>
          <w:lang w:eastAsia="zh-CN"/>
        </w:rPr>
        <w:t xml:space="preserve">.确定</w:t>
      </w:r>
      <w:bookmarkEnd w:id="124"/>
      <w:r/>
      <w:bookmarkEnd w:id="125"/>
      <w:r>
        <w:rPr>
          <w:rFonts w:hint="eastAsia" w:ascii="宋体" w:hAnsi="宋体" w:eastAsia="宋体" w:cs="宋体"/>
          <w:bCs w:val="0"/>
          <w:color w:val="000000"/>
          <w:highlight w:val="none"/>
          <w:lang w:eastAsia="zh-CN"/>
        </w:rPr>
        <w:t xml:space="preserve">中标单位</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000000"/>
          <w:sz w:val="24"/>
          <w:highlight w:val="none"/>
        </w:rPr>
        <w:t xml:space="preserve">第五章规定</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ascii="宋体" w:hAnsi="宋体" w:eastAsia="宋体" w:cs="宋体"/>
          <w:bCs/>
          <w:color w:val="000000"/>
          <w:sz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w:t>
      </w:r>
      <w:r>
        <w:rPr>
          <w:rFonts w:hint="eastAsia" w:ascii="宋体" w:hAnsi="宋体" w:eastAsia="宋体" w:cs="宋体"/>
          <w:color w:val="000000"/>
          <w:sz w:val="24"/>
          <w:szCs w:val="24"/>
          <w:highlight w:val="none"/>
        </w:rPr>
        <w:t xml:space="preserve">采购代理机构将在“江苏政府采购网”发布中标公告，公告期限为1个工作日。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27.4中标无效的确认</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若有充分证据证明，中标人出现下列情况之一的，一经查实，将被取消中标资格：</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27.4.2向采购人、采购代理机构行贿或者提供其他不正当利益的。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27.4.3属于本文件规定的无效投标文件条件的，但在评标过程中又未被评委会发现的。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bookmarkStart w:id="126" w:name="_Toc200451960"/>
      <w:r>
        <w:rPr>
          <w:rFonts w:hint="eastAsia" w:ascii="宋体" w:hAnsi="宋体" w:eastAsia="宋体" w:cs="宋体"/>
          <w:color w:val="000000"/>
          <w:sz w:val="24"/>
          <w:szCs w:val="24"/>
          <w:highlight w:val="none"/>
        </w:rPr>
        <w:t xml:space="preserve">27.4.6</w:t>
      </w:r>
      <w:r>
        <w:rPr>
          <w:rFonts w:hint="eastAsia" w:ascii="宋体" w:hAnsi="宋体" w:eastAsia="宋体" w:cs="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27.4.7</w:t>
      </w:r>
      <w:r>
        <w:rPr>
          <w:rFonts w:hint="eastAsia" w:ascii="宋体" w:hAnsi="宋体" w:eastAsia="宋体" w:cs="宋体"/>
          <w:bCs/>
          <w:color w:val="000000"/>
          <w:sz w:val="24"/>
          <w:szCs w:val="24"/>
          <w:highlight w:val="none"/>
        </w:rPr>
        <w:t xml:space="preserve">拒绝有关部门监督检查或者提供虚假情况的。</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有下列情形之一的，视为投标人串通投标，投标无效：</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 不同投标人的投标文件载明的项目管理成员或者联系人员为同一人。</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27.6中标供应商无正当理由放弃中标项目的处理</w:t>
      </w:r>
      <w:r>
        <w:rPr>
          <w:rFonts w:ascii="宋体" w:hAnsi="宋体" w:eastAsia="宋体" w:cs="宋体"/>
          <w:color w:val="000000"/>
          <w:sz w:val="24"/>
          <w:szCs w:val="24"/>
          <w:highlight w:val="none"/>
        </w:rPr>
      </w:r>
      <w:r/>
    </w:p>
    <w:p>
      <w:pPr>
        <w:pStyle w:val="765"/>
        <w:ind w:firstLine="480"/>
        <w:spacing w:before="0" w:beforeAutospacing="0" w:after="0" w:afterAutospacing="0" w:line="360" w:lineRule="auto"/>
        <w:rPr>
          <w:rFonts w:eastAsia="宋体" w:cs="宋体"/>
          <w:bCs/>
          <w:color w:val="000000"/>
          <w:highlight w:val="none"/>
        </w:rPr>
      </w:pPr>
      <w:r>
        <w:rPr>
          <w:rStyle w:val="770"/>
          <w:rFonts w:hint="eastAsia" w:eastAsia="宋体" w:cs="宋体"/>
          <w:b w:val="0"/>
          <w:bCs/>
          <w:color w:val="000000"/>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eastAsia="宋体" w:cs="宋体"/>
          <w:bCs/>
          <w:color w:val="000000"/>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28.质疑处理</w:t>
      </w:r>
      <w:bookmarkEnd w:id="126"/>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质疑的供应商应当是参与所质疑项目采购活动的供应商。潜在供应商依法获取其可质疑的采购文件的，可以对采购文件质疑。</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000000"/>
          <w:sz w:val="24"/>
          <w:szCs w:val="24"/>
          <w:highlight w:val="none"/>
        </w:rPr>
        <w:t xml:space="preserve">28.4条款</w:t>
      </w:r>
      <w:r>
        <w:rPr>
          <w:rFonts w:hint="eastAsia" w:ascii="宋体" w:hAnsi="宋体" w:eastAsia="宋体" w:cs="宋体"/>
          <w:color w:val="000000"/>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28.2.1对可以质疑的采购文件质疑的，为收到采购文件之日或者采购文件公告期限届满之日；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28.2.2对采购过程质疑的，为各采购程序环节结束之日；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28.2.3对中标或者成交结果质疑的，为中标或者成交结果公告期限届满之日。</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w:t>
      </w:r>
      <w:r>
        <w:rPr>
          <w:rFonts w:hint="eastAsia" w:ascii="宋体" w:hAnsi="宋体" w:eastAsia="宋体" w:cs="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 xml:space="preserve">供应商如组成联合体参加投标</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本项目不接受联合投标</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szCs w:val="24"/>
          <w:highlight w:val="none"/>
        </w:rPr>
        <w:t xml:space="preserve">，则《质疑函范本》中要求签字、盖章、加盖公章之处，联合体各方均须按要求签字、盖章、加盖公章。</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rPr>
          <w:rFonts w:ascii="宋体" w:hAnsi="宋体" w:eastAsia="宋体" w:cs="宋体"/>
          <w:color w:val="000000"/>
          <w:sz w:val="24"/>
          <w:szCs w:val="24"/>
          <w:highlight w:val="none"/>
          <w:shd w:val="clear" w:color="ffffff" w:fill="d9d9d9"/>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采购人、采购代理机构联系人、联系方式、通信地址见招标文件第一章。</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 内容不符合《政府采购质疑和投诉办法》第十二条规定的质疑。</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 超出政府采购法定期限的质疑。</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以传真、电子邮件等方式递交的非原件形式的质疑。</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本项目不接受联合投标</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0"/>
        <w:ind w:firstLine="46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w:t>
      </w:r>
      <w:r>
        <w:rPr>
          <w:rFonts w:hint="eastAsia" w:ascii="宋体" w:hAnsi="宋体" w:eastAsia="宋体" w:cs="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 xml:space="preserve">一经查实，采购代理机构有权依据政府采购的有关规定，报请政府采购监管部门对该供应商进行相应的行政处罚和记录该供应商的失信信息。</w:t>
      </w:r>
      <w:r>
        <w:rPr>
          <w:rFonts w:ascii="宋体" w:hAnsi="宋体" w:eastAsia="宋体" w:cs="宋体"/>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29.中标通知书</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及时下载中标通知书。因系统存储空间有限，自中标结果公告届满之日起30日后，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不再保证提供下载中标通知书服务，因未及时下载而造成的不利后果由中标人自行承担。</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eastAsia="宋体" w:cs="宋体"/>
          <w:color w:val="000000"/>
          <w:sz w:val="24"/>
          <w:szCs w:val="24"/>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bookmarkStart w:id="127" w:name="_Toc120614220"/>
      <w:r/>
      <w:bookmarkStart w:id="128" w:name="_Toc513029236"/>
      <w:r/>
      <w:bookmarkStart w:id="129" w:name="_Toc16938552"/>
      <w:r/>
      <w:bookmarkStart w:id="130" w:name="_Toc20823308"/>
      <w:r>
        <w:rPr>
          <w:rFonts w:hint="eastAsia" w:ascii="宋体" w:hAnsi="宋体" w:cs="宋体"/>
          <w:color w:val="000000"/>
          <w:sz w:val="30"/>
          <w:szCs w:val="30"/>
          <w:highlight w:val="none"/>
          <w:lang w:eastAsia="zh-CN"/>
        </w:rPr>
        <w:t xml:space="preserve">七、授予合同</w:t>
      </w:r>
      <w:bookmarkEnd w:id="127"/>
      <w:r>
        <w:rPr>
          <w:rFonts w:ascii="宋体" w:hAnsi="宋体" w:cs="宋体"/>
          <w:color w:val="000000"/>
          <w:sz w:val="30"/>
          <w:szCs w:val="30"/>
          <w:highlight w:val="none"/>
          <w:lang w:eastAsia="zh-CN"/>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bookmarkEnd w:id="128"/>
      <w:r/>
      <w:bookmarkEnd w:id="129"/>
      <w:r/>
      <w:bookmarkEnd w:id="130"/>
      <w:r/>
      <w:bookmarkStart w:id="131" w:name="_Toc16938553"/>
      <w:r/>
      <w:bookmarkStart w:id="132" w:name="_Toc20823309"/>
      <w:r/>
      <w:bookmarkStart w:id="133" w:name="_Toc513029237"/>
      <w:r>
        <w:rPr>
          <w:rFonts w:hint="eastAsia" w:ascii="宋体" w:hAnsi="宋体" w:eastAsia="宋体" w:cs="宋体"/>
          <w:bCs w:val="0"/>
          <w:color w:val="000000"/>
          <w:highlight w:val="none"/>
          <w:lang w:eastAsia="zh-CN"/>
        </w:rPr>
        <w:t xml:space="preserve">30.签订合同</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30.2中标人非因不可抗力未履行招、投标文件和合同规定的义务，一经查实，采购代理机构将根据具体情况提请政府采购管理部门作出相应处理。</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宋体"/>
          <w:bCs/>
          <w:color w:val="000000"/>
          <w:sz w:val="24"/>
          <w:szCs w:val="24"/>
          <w:highlight w:val="none"/>
        </w:rPr>
      </w:r>
      <w:r/>
    </w:p>
    <w:p>
      <w:pPr>
        <w:pStyle w:val="1096"/>
        <w:ind w:firstLine="422"/>
        <w:keepLines w:val="0"/>
        <w:keepNext w:val="0"/>
        <w:spacing w:before="0" w:after="0" w:line="360" w:lineRule="auto"/>
        <w:rPr>
          <w:rFonts w:ascii="宋体" w:hAnsi="宋体" w:eastAsia="宋体" w:cs="宋体"/>
          <w:bCs w:val="0"/>
          <w:color w:val="000000"/>
          <w:highlight w:val="none"/>
          <w:lang w:eastAsia="zh-CN"/>
        </w:rPr>
      </w:pPr>
      <w:r>
        <w:rPr>
          <w:rFonts w:hint="eastAsia" w:ascii="宋体" w:hAnsi="宋体" w:eastAsia="宋体" w:cs="宋体"/>
          <w:bCs w:val="0"/>
          <w:color w:val="000000"/>
          <w:highlight w:val="none"/>
          <w:lang w:eastAsia="zh-CN"/>
        </w:rPr>
        <w:t xml:space="preserve">31.服务（包含与服务相关的货物）的追加</w:t>
      </w:r>
      <w:r>
        <w:rPr>
          <w:rFonts w:ascii="宋体" w:hAnsi="宋体" w:eastAsia="宋体" w:cs="宋体"/>
          <w:bCs w:val="0"/>
          <w:color w:val="000000"/>
          <w:highlight w:val="none"/>
          <w:lang w:eastAsia="zh-CN"/>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ascii="宋体" w:hAnsi="宋体" w:eastAsia="宋体" w:cs="宋体"/>
          <w:color w:val="000000"/>
          <w:sz w:val="24"/>
          <w:szCs w:val="24"/>
          <w:highlight w:val="none"/>
        </w:rPr>
      </w:r>
      <w:r/>
    </w:p>
    <w:p>
      <w:pPr>
        <w:pStyle w:val="730"/>
        <w:rPr>
          <w:rFonts w:ascii="宋体" w:hAnsi="宋体" w:cs="宋体"/>
          <w:b/>
          <w:color w:val="000000"/>
          <w:sz w:val="36"/>
          <w:szCs w:val="36"/>
          <w:highlight w:val="none"/>
        </w:rPr>
      </w:pPr>
      <w:r/>
      <w:bookmarkEnd w:id="131"/>
      <w:r/>
      <w:bookmarkEnd w:id="132"/>
      <w:r/>
      <w:bookmarkEnd w:id="133"/>
      <w:r/>
      <w:bookmarkStart w:id="134" w:name="_Toc20823315"/>
      <w:r/>
      <w:bookmarkStart w:id="135" w:name="_Toc513029243"/>
      <w:r/>
      <w:bookmarkStart w:id="136" w:name="_Toc16938559"/>
      <w:r>
        <w:rPr>
          <w:rFonts w:hint="eastAsia" w:ascii="宋体" w:hAnsi="宋体" w:cs="宋体"/>
          <w:b/>
          <w:color w:val="000000"/>
          <w:sz w:val="36"/>
          <w:szCs w:val="36"/>
          <w:highlight w:val="none"/>
        </w:rPr>
        <w:br w:type="page" w:clear="all"/>
      </w:r>
      <w:r>
        <w:rPr>
          <w:rFonts w:ascii="宋体" w:hAnsi="宋体" w:cs="宋体"/>
          <w:b/>
          <w:color w:val="000000"/>
          <w:sz w:val="36"/>
          <w:szCs w:val="36"/>
          <w:highlight w:val="none"/>
        </w:rPr>
      </w:r>
      <w:r/>
    </w:p>
    <w:p>
      <w:pPr>
        <w:pStyle w:val="1094"/>
        <w:numPr>
          <w:ilvl w:val="0"/>
          <w:numId w:val="8"/>
        </w:numPr>
        <w:ind w:firstLine="0"/>
        <w:jc w:val="center"/>
        <w:keepLines w:val="0"/>
        <w:keepNext w:val="0"/>
        <w:pageBreakBefore w:val="0"/>
        <w:spacing w:line="360" w:lineRule="auto"/>
        <w:widowControl w:val="off"/>
        <w:rPr>
          <w:rFonts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 合同文本</w:t>
      </w:r>
      <w:r>
        <w:rPr>
          <w:rFonts w:ascii="宋体" w:hAnsi="宋体" w:cs="宋体"/>
          <w:b/>
          <w:color w:val="000000"/>
          <w:sz w:val="36"/>
          <w:szCs w:val="36"/>
          <w:highlight w:val="none"/>
          <w:lang w:eastAsia="zh-CN"/>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bookmarkEnd w:id="134"/>
      <w:r/>
      <w:bookmarkEnd w:id="135"/>
      <w:r/>
      <w:bookmarkEnd w:id="136"/>
      <w:r/>
      <w:bookmarkStart w:id="137" w:name="_Hlt16619350"/>
      <w:r/>
      <w:bookmarkStart w:id="138" w:name="_Toc16938590"/>
      <w:r/>
      <w:bookmarkStart w:id="139" w:name="_Toc120614244"/>
      <w:r/>
      <w:bookmarkStart w:id="140" w:name="_Toc20823346"/>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乙方（中标方）：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采购内容：</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中药饮片</w:t>
      </w:r>
      <w:r>
        <w:rPr>
          <w:rFonts w:hint="eastAsia" w:ascii="宋体" w:hAnsi="宋体" w:eastAsia="宋体" w:cs="宋体"/>
          <w:color w:val="000000"/>
          <w:sz w:val="24"/>
          <w:szCs w:val="24"/>
          <w:highlight w:val="none"/>
        </w:rPr>
        <w:t xml:space="preserve">中标</w:t>
      </w:r>
      <w:r>
        <w:rPr>
          <w:rFonts w:hint="eastAsia"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   </w:t>
      </w:r>
      <w:r>
        <w:rPr>
          <w:rFonts w:hint="eastAsia"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代煎服务费标准为</w:t>
      </w:r>
      <w:r>
        <w:rPr>
          <w:rFonts w:hint="eastAsia" w:ascii="宋体" w:hAnsi="宋体" w:eastAsia="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煎汤每贴</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lang w:val="en-US" w:eastAsia="zh-CN"/>
        </w:rPr>
        <w:t xml:space="preserve">元，熬膏每料</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lang w:val="en-US" w:eastAsia="zh-CN"/>
        </w:rPr>
        <w:t xml:space="preserve">元（含黄酒、容器、冰糖</w:t>
      </w:r>
      <w:r>
        <w:rPr>
          <w:rFonts w:hint="eastAsia" w:ascii="宋体" w:hAnsi="宋体" w:eastAsia="宋体" w:cs="宋体"/>
          <w:bCs/>
          <w:color w:val="000000"/>
          <w:sz w:val="24"/>
          <w:szCs w:val="24"/>
          <w:highlight w:val="none"/>
          <w:lang w:val="en-US" w:eastAsia="zh-CN" w:bidi="ar-SA"/>
        </w:rPr>
        <w:t xml:space="preserve">），代加工服务费磨粉</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元/500g（以500g为收费起点，不足500g按500g收费；每超过100g加收1.50元，不足100g按100g收费。）；代加工服务费制丸</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元/500g（以500g为收费起点，不足500g按500g收费；每超过100g加收5.00元，不足100g按100g收费）</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质量和服务要求及验收标准：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服务期或完工期：</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服务地点和方式：</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费用支付步骤和办法：</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售后服务：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违约责任：</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解决争议的方式：</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r>
      <w:r/>
    </w:p>
    <w:p>
      <w:pPr>
        <w:pStyle w:val="730"/>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事项：</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color w:val="000000"/>
          <w:sz w:val="24"/>
          <w:szCs w:val="24"/>
          <w:highlight w:val="none"/>
        </w:rPr>
        <w:t xml:space="preserve">合同不可分割部分：</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十三、</w:t>
      </w:r>
      <w:r>
        <w:rPr>
          <w:rFonts w:hint="eastAsia" w:ascii="宋体" w:hAnsi="宋体" w:eastAsia="宋体" w:cs="宋体"/>
          <w:color w:val="000000"/>
          <w:sz w:val="24"/>
          <w:szCs w:val="24"/>
          <w:highlight w:val="none"/>
        </w:rPr>
        <w:t xml:space="preserve">合同备案：</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合同一式</w:t>
      </w:r>
      <w:r>
        <w:rPr>
          <w:rFonts w:hint="eastAsia"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份，甲乙双方各执</w:t>
      </w:r>
      <w:r>
        <w:rPr>
          <w:rFonts w:hint="eastAsia"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份，采购代理机构</w:t>
      </w:r>
      <w:r>
        <w:rPr>
          <w:rFonts w:hint="eastAsia"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十四、</w:t>
      </w:r>
      <w:r>
        <w:rPr>
          <w:rFonts w:hint="eastAsia" w:ascii="宋体" w:hAnsi="宋体" w:eastAsia="宋体" w:cs="宋体"/>
          <w:color w:val="000000"/>
          <w:sz w:val="24"/>
          <w:szCs w:val="24"/>
          <w:highlight w:val="none"/>
        </w:rPr>
        <w:t xml:space="preserve">合同生效：</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本合同由甲乙双方签字、盖章后生效。</w:t>
      </w:r>
      <w:r>
        <w:rPr>
          <w:rFonts w:hint="eastAsia" w:ascii="宋体" w:hAnsi="宋体" w:eastAsia="宋体" w:cs="宋体"/>
          <w:color w:val="000000"/>
          <w:sz w:val="24"/>
          <w:szCs w:val="24"/>
          <w:highlight w:val="none"/>
        </w:rPr>
      </w:r>
      <w:r/>
    </w:p>
    <w:tbl>
      <w:tblPr>
        <w:tblStyle w:val="76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vAlign w:val="top"/>
            <w:textDirection w:val="lrTb"/>
            <w:noWrap w:val="false"/>
          </w:tcPr>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甲方（采购人）：（盖章） </w:t>
            </w:r>
            <w:r>
              <w:rPr>
                <w:rFonts w:hint="eastAsia" w:ascii="宋体" w:hAnsi="宋体" w:eastAsia="宋体" w:cs="宋体"/>
                <w:color w:val="000000"/>
                <w:sz w:val="24"/>
                <w:szCs w:val="24"/>
                <w:highlight w:val="none"/>
                <w:vertAlign w:val="baseline"/>
              </w:rPr>
            </w:r>
            <w:r/>
          </w:p>
        </w:tc>
        <w:tc>
          <w:tcPr>
            <w:tcW w:w="4571"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乙方（中标方）：（盖章）</w:t>
            </w:r>
            <w:r>
              <w:rPr>
                <w:rFonts w:hint="eastAsia" w:ascii="宋体" w:hAnsi="宋体" w:eastAsia="宋体" w:cs="宋体"/>
                <w:color w:val="000000"/>
                <w:sz w:val="24"/>
                <w:szCs w:val="24"/>
                <w:highlight w:val="none"/>
                <w:vertAlign w:val="baseline"/>
              </w:rPr>
            </w:r>
            <w:r/>
          </w:p>
        </w:tc>
      </w:tr>
      <w:tr>
        <w:trPr/>
        <w:tc>
          <w:tcPr>
            <w:tcW w:w="4717" w:type="dxa"/>
            <w:vAlign w:val="top"/>
            <w:textDirection w:val="lrTb"/>
            <w:noWrap w:val="false"/>
          </w:tcPr>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lang w:eastAsia="zh-CN"/>
              </w:rPr>
            </w:r>
            <w:r/>
          </w:p>
        </w:tc>
        <w:tc>
          <w:tcPr>
            <w:tcW w:w="4571"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lang w:eastAsia="zh-CN"/>
              </w:rPr>
            </w:r>
            <w:r/>
          </w:p>
        </w:tc>
      </w:tr>
      <w:tr>
        <w:trPr/>
        <w:tc>
          <w:tcPr>
            <w:tcW w:w="4717" w:type="dxa"/>
            <w:vAlign w:val="top"/>
            <w:textDirection w:val="lrTb"/>
            <w:noWrap w:val="false"/>
          </w:tcPr>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vertAlign w:val="baseline"/>
              </w:rPr>
            </w:r>
            <w:r/>
          </w:p>
        </w:tc>
        <w:tc>
          <w:tcPr>
            <w:tcW w:w="4571"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vertAlign w:val="baseline"/>
              </w:rPr>
            </w:r>
            <w:r/>
          </w:p>
        </w:tc>
      </w:tr>
      <w:tr>
        <w:trPr/>
        <w:tc>
          <w:tcPr>
            <w:tcW w:w="4717"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71"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乙方户名：                       </w:t>
            </w:r>
            <w:r>
              <w:rPr>
                <w:rFonts w:hint="eastAsia" w:ascii="宋体" w:hAnsi="宋体" w:eastAsia="宋体" w:cs="宋体"/>
                <w:color w:val="000000"/>
                <w:sz w:val="24"/>
                <w:szCs w:val="24"/>
                <w:highlight w:val="none"/>
              </w:rPr>
            </w:r>
            <w:r/>
          </w:p>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乙方开户银行：</w:t>
            </w:r>
            <w:r>
              <w:rPr>
                <w:rFonts w:hint="eastAsia" w:ascii="宋体" w:hAnsi="宋体" w:eastAsia="宋体" w:cs="宋体"/>
                <w:color w:val="000000"/>
                <w:sz w:val="24"/>
                <w:szCs w:val="24"/>
                <w:highlight w:val="none"/>
              </w:rPr>
            </w:r>
            <w:r/>
          </w:p>
        </w:tc>
      </w:tr>
      <w:tr>
        <w:trPr/>
        <w:tc>
          <w:tcPr>
            <w:tcW w:w="4717" w:type="dxa"/>
            <w:vAlign w:val="top"/>
            <w:textDirection w:val="lrTb"/>
            <w:noWrap w:val="false"/>
          </w:tcPr>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4571" w:type="dxa"/>
            <w:vAlign w:val="top"/>
            <w:textDirection w:val="lrTb"/>
            <w:noWrap w:val="false"/>
          </w:tcPr>
          <w:p>
            <w:pPr>
              <w:pStyle w:val="767"/>
              <w:ind w:left="0" w:firstLine="0"/>
              <w:keepLines w:val="0"/>
              <w:keepNext w:val="0"/>
              <w:pageBreakBefore w:val="0"/>
              <w:spacing w:after="0" w:line="360" w:lineRule="auto"/>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乙方账号：</w:t>
            </w:r>
            <w:r>
              <w:rPr>
                <w:rFonts w:hint="eastAsia" w:ascii="宋体" w:hAnsi="宋体" w:eastAsia="宋体" w:cs="宋体"/>
                <w:color w:val="000000"/>
                <w:sz w:val="24"/>
                <w:szCs w:val="24"/>
                <w:highlight w:val="none"/>
                <w:vertAlign w:val="baseline"/>
              </w:rPr>
            </w:r>
            <w:r/>
          </w:p>
        </w:tc>
      </w:tr>
    </w:tbl>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67"/>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★备注：甲乙双方必须以本格式文本，按照合同条款拟订合同</w:t>
      </w: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767"/>
        <w:ind w:firstLine="480"/>
        <w:jc w:val="center"/>
        <w:keepLines w:val="0"/>
        <w:keepNext w:val="0"/>
        <w:pageBreakBefore w:val="0"/>
        <w:spacing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合同条款</w:t>
      </w:r>
      <w:r>
        <w:rPr>
          <w:rFonts w:hint="eastAsia" w:ascii="宋体" w:hAnsi="宋体" w:eastAsia="宋体" w:cs="宋体"/>
          <w:color w:val="000000"/>
          <w:sz w:val="24"/>
          <w:szCs w:val="24"/>
          <w:highlight w:val="none"/>
          <w:lang w:val="en-US"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合作内容：</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u w:val="single"/>
        </w:rPr>
        <w:t xml:space="preserve">中药饮片、集中代加工及配送服务</w:t>
      </w:r>
      <w:r>
        <w:rPr>
          <w:rFonts w:hint="eastAsia" w:ascii="宋体" w:hAnsi="宋体" w:eastAsia="宋体" w:cs="宋体"/>
          <w:color w:val="000000"/>
          <w:sz w:val="24"/>
          <w:szCs w:val="24"/>
          <w:highlight w:val="none"/>
          <w:u w:val="singl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2.乙方配送地点：提供免费配送至甲方</w:t>
      </w:r>
      <w:r>
        <w:rPr>
          <w:rFonts w:hint="eastAsia" w:ascii="宋体" w:hAnsi="宋体" w:eastAsia="宋体" w:cs="宋体"/>
          <w:color w:val="000000"/>
          <w:sz w:val="24"/>
          <w:szCs w:val="24"/>
          <w:highlight w:val="none"/>
          <w:lang w:val="en-US" w:eastAsia="zh-CN"/>
        </w:rPr>
        <w:t xml:space="preserve">指定地点</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配送过程应注意患者个人信息安全（需要快递至患者家中的，配送费由患者承担）。</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3.配送时间：</w:t>
      </w:r>
      <w:r>
        <w:rPr>
          <w:rFonts w:hint="eastAsia" w:hAnsi="宋体" w:eastAsia="宋体" w:cs="宋体"/>
          <w:color w:val="000000"/>
          <w:sz w:val="24"/>
          <w:szCs w:val="24"/>
          <w:highlight w:val="none"/>
          <w:lang w:val="en-US" w:eastAsia="zh-CN"/>
        </w:rPr>
        <w:t xml:space="preserve">除法定节假日，</w:t>
      </w:r>
      <w:r>
        <w:rPr>
          <w:rFonts w:hint="eastAsia" w:ascii="宋体" w:hAnsi="宋体" w:eastAsia="宋体" w:cs="宋体"/>
          <w:color w:val="000000"/>
          <w:sz w:val="24"/>
          <w:szCs w:val="24"/>
          <w:highlight w:val="none"/>
        </w:rPr>
        <w:t xml:space="preserve">收方时间在当天17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00之前的处方送货时间为收方后第二天，当天17:00之后的处方送货时间为收方后第三天，加工方式为磨粉的，送货时间为收方后第三天，加工方式为制丸的，送货时间为收方后10天，加工方式为膏方的，送货时间为收方后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10天，如遇加工量超出正常范围的，可临时协商送货时间。如遇到缺少药物的情况应及时通过甲方向开方医生沟通是否需要调换药物，乙方发货后当天内将配送信息发送给甲方。</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4.服务响应：乙方在接到甲方应急需求对接通知后，到达甲方处时间不得超过</w:t>
      </w:r>
      <w:r>
        <w:rPr>
          <w:rFonts w:hint="eastAsia"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个小时，乙方接到甲方应急送货需求，到货时间不得超过</w:t>
      </w:r>
      <w:r>
        <w:rPr>
          <w:rFonts w:hint="eastAsia"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个小时。</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本协议服务期限为</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年，即自合同生效之日起计算。</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二、价款及结算：</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中药饮片结算价款</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中药饮片</w:t>
      </w:r>
      <w:r>
        <w:rPr>
          <w:rFonts w:hint="eastAsia" w:ascii="宋体" w:hAnsi="宋体" w:eastAsia="宋体" w:cs="宋体"/>
          <w:color w:val="000000"/>
          <w:sz w:val="24"/>
          <w:szCs w:val="24"/>
          <w:highlight w:val="none"/>
        </w:rPr>
        <w:t xml:space="preserve">中标</w:t>
      </w:r>
      <w:r>
        <w:rPr>
          <w:rFonts w:hint="eastAsia" w:hAnsi="宋体" w:eastAsia="宋体" w:cs="宋体"/>
          <w:color w:val="000000"/>
          <w:sz w:val="24"/>
          <w:szCs w:val="24"/>
          <w:highlight w:val="none"/>
          <w:lang w:val="en-US" w:eastAsia="zh-CN"/>
        </w:rPr>
        <w:t xml:space="preserve">优惠率为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甲方需支付给乙方的中药饮片</w:t>
      </w:r>
      <w:r>
        <w:rPr>
          <w:rFonts w:hint="eastAsia"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按照分项价格计算，分项价格见合同附件。</w:t>
      </w:r>
      <w:r>
        <w:rPr>
          <w:rFonts w:hint="eastAsia" w:ascii="宋体" w:hAnsi="宋体" w:eastAsia="宋体" w:cs="宋体"/>
          <w:color w:val="000000"/>
          <w:sz w:val="24"/>
          <w:szCs w:val="24"/>
          <w:highlight w:val="none"/>
        </w:rPr>
      </w:r>
      <w:r/>
    </w:p>
    <w:p>
      <w:pPr>
        <w:pStyle w:val="730"/>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2.1.2 乙方药品代煎服务费标准为</w:t>
      </w:r>
      <w:r>
        <w:rPr>
          <w:rFonts w:hint="eastAsia" w:hAnsi="宋体" w:cs="宋体"/>
          <w:color w:val="000000"/>
          <w:sz w:val="24"/>
          <w:szCs w:val="24"/>
          <w:highlight w:val="none"/>
          <w:lang w:val="en-US" w:eastAsia="zh-CN"/>
        </w:rPr>
        <w:t xml:space="preserve">煎汤每贴</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lang w:val="en-US" w:eastAsia="zh-CN"/>
        </w:rPr>
        <w:t xml:space="preserve">元，熬膏每料</w:t>
      </w:r>
      <w:r>
        <w:rPr>
          <w:rFonts w:hint="eastAsia" w:hAnsi="宋体" w:cs="宋体"/>
          <w:color w:val="000000"/>
          <w:sz w:val="24"/>
          <w:szCs w:val="24"/>
          <w:highlight w:val="none"/>
          <w:u w:val="single"/>
          <w:lang w:val="en-US" w:eastAsia="zh-CN"/>
        </w:rPr>
        <w:t xml:space="preserve">   </w:t>
      </w:r>
      <w:r>
        <w:rPr>
          <w:rFonts w:hint="eastAsia" w:hAnsi="宋体" w:cs="宋体"/>
          <w:color w:val="000000"/>
          <w:sz w:val="24"/>
          <w:szCs w:val="24"/>
          <w:highlight w:val="none"/>
          <w:lang w:val="en-US" w:eastAsia="zh-CN"/>
        </w:rPr>
        <w:t xml:space="preserve">元（含黄酒、容器、冰糖</w:t>
      </w:r>
      <w:r>
        <w:rPr>
          <w:rFonts w:hint="eastAsia" w:ascii="宋体" w:hAnsi="宋体" w:eastAsia="宋体" w:cs="宋体"/>
          <w:bCs/>
          <w:color w:val="000000"/>
          <w:sz w:val="24"/>
          <w:szCs w:val="24"/>
          <w:highlight w:val="none"/>
          <w:lang w:val="en-US" w:eastAsia="zh-CN" w:bidi="ar-SA"/>
        </w:rPr>
        <w:t xml:space="preserve">），代加工服务费磨粉</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元/500g（以500g为收费起点，不足500g按500g收费；每超过100g加收1.50元，不足100g按100g收费。）；代加工服务费制丸</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元/500g（以500g为收费起点，不足500g按500g收费；每超过100g加收5.00元，不足100g按100g收费）</w:t>
      </w:r>
      <w:r>
        <w:rPr>
          <w:rFonts w:hint="eastAsia" w:ascii="宋体" w:hAnsi="宋体" w:cs="宋体"/>
          <w:bCs/>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 甲、乙双方于每月的 5 号就上月发生的销售额及服务费对账一次，乙方按对账一致后的金额开具药品销售及服务类正式发票交付甲方，甲方收到发票后根据</w:t>
      </w:r>
      <w:r>
        <w:rPr>
          <w:rFonts w:hint="eastAsia" w:ascii="宋体" w:hAnsi="宋体" w:eastAsia="宋体" w:cs="宋体"/>
          <w:color w:val="000000"/>
          <w:sz w:val="24"/>
          <w:szCs w:val="24"/>
          <w:highlight w:val="none"/>
          <w:lang w:val="en-US" w:eastAsia="zh-CN"/>
        </w:rPr>
        <w:t xml:space="preserve">院方</w:t>
      </w:r>
      <w:r>
        <w:rPr>
          <w:rFonts w:hint="eastAsia" w:ascii="宋体" w:hAnsi="宋体" w:eastAsia="宋体" w:cs="宋体"/>
          <w:color w:val="000000"/>
          <w:sz w:val="24"/>
          <w:szCs w:val="24"/>
          <w:highlight w:val="none"/>
        </w:rPr>
        <w:t xml:space="preserve">账期向乙方付款。</w:t>
      </w:r>
      <w:r>
        <w:rPr>
          <w:rFonts w:hint="eastAsia" w:ascii="宋体" w:hAnsi="宋体" w:eastAsia="宋体" w:cs="宋体"/>
          <w:color w:val="000000"/>
          <w:sz w:val="24"/>
          <w:szCs w:val="24"/>
          <w:highlight w:val="none"/>
          <w:lang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乙方指定的银行账户信息：</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户名：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三、保密要求</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1.由甲、乙双方收集的、整理的、复制的、研究的和准备的与本合同项下工作有关的所有资料均被视为保密的，不得</w:t>
      </w:r>
      <w:r>
        <w:rPr>
          <w:rFonts w:hint="eastAsia" w:hAnsi="宋体" w:eastAsia="宋体" w:cs="宋体"/>
          <w:color w:val="000000"/>
          <w:sz w:val="24"/>
          <w:szCs w:val="24"/>
          <w:highlight w:val="none"/>
          <w:lang w:eastAsia="zh-CN"/>
        </w:rPr>
        <w:t xml:space="preserve">泄露</w:t>
      </w:r>
      <w:r>
        <w:rPr>
          <w:rFonts w:hint="eastAsia" w:ascii="宋体" w:hAnsi="宋体" w:eastAsia="宋体" w:cs="宋体"/>
          <w:color w:val="000000"/>
          <w:sz w:val="24"/>
          <w:szCs w:val="24"/>
          <w:highlight w:val="none"/>
        </w:rPr>
        <w:t xml:space="preserve">给甲、乙双方或其指定的代表之外的任何人，不管本合同因何种原因终止，本条款一直约束甲、乙双方。</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2.乙方在履行合同过程中所获得或接触到的任何内部数据资料（包含患者的处方等个人信息），未经甲方同意，不得向第三方透露。</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3.乙方实施项目的一切程序都应符合国家安全、保密的有关规定和标准。</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四、甲方权利与义务</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（一）甲方权利：</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1.有权向乙方询问工作进展情况及相关的内容。</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2.有权阐述对具体问题的意见和建议。</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3.当甲方认定乙方人员不按合同履行其职责，或与第三人串通给甲方造成经济损失的，甲方有权要求更换人员，直至终止合同并要求乙方承担相应的赔偿责任。</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4.在合同期内，若不能达到要求，经书面通知整改的达到3次，甲方可单方面终止合同。</w:t>
      </w:r>
      <w:r>
        <w:rPr>
          <w:rFonts w:hint="eastAsia" w:ascii="宋体" w:hAnsi="宋体" w:eastAsia="宋体" w:cs="宋体"/>
          <w:color w:val="000000"/>
          <w:sz w:val="24"/>
          <w:szCs w:val="24"/>
          <w:highlight w:val="none"/>
        </w:rPr>
      </w:r>
      <w:r/>
    </w:p>
    <w:p>
      <w:pPr>
        <w:pStyle w:val="730"/>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cs="Times New Roman"/>
          <w:color w:val="000000"/>
          <w:sz w:val="24"/>
          <w:szCs w:val="24"/>
          <w:highlight w:val="none"/>
          <w:lang w:val="en-US" w:eastAsia="zh-CN"/>
        </w:rPr>
        <w:t xml:space="preserve">每月随机抽取中药饮片20种（不限于），中标人在规定时限内提供制药企业生产部门的质量检测报告。采购人每半年</w:t>
      </w:r>
      <w:r>
        <w:rPr>
          <w:rFonts w:hint="eastAsia" w:ascii="宋体" w:hAnsi="宋体" w:eastAsia="宋体" w:cs="Times New Roman"/>
          <w:color w:val="000000"/>
          <w:sz w:val="24"/>
          <w:szCs w:val="24"/>
          <w:highlight w:val="none"/>
          <w:lang w:val="en-US" w:eastAsia="zh-CN"/>
        </w:rPr>
        <w:t xml:space="preserve">组建中药饮片质量联合监督组，</w:t>
      </w:r>
      <w:r>
        <w:rPr>
          <w:rFonts w:hint="eastAsia" w:ascii="宋体" w:hAnsi="宋体" w:cs="Times New Roman"/>
          <w:color w:val="000000"/>
          <w:sz w:val="24"/>
          <w:szCs w:val="24"/>
          <w:highlight w:val="none"/>
          <w:lang w:val="en-US" w:eastAsia="zh-CN"/>
        </w:rPr>
        <w:t xml:space="preserve">对</w:t>
      </w:r>
      <w:r>
        <w:rPr>
          <w:rFonts w:hint="eastAsia" w:ascii="宋体" w:hAnsi="宋体" w:eastAsia="宋体" w:cs="Times New Roman"/>
          <w:color w:val="000000"/>
          <w:sz w:val="24"/>
          <w:szCs w:val="24"/>
          <w:highlight w:val="none"/>
          <w:lang w:val="en-US" w:eastAsia="zh-CN"/>
        </w:rPr>
        <w:t xml:space="preserve">中标供应商代煎现场，进行全面质量检查，</w:t>
      </w:r>
      <w:r>
        <w:rPr>
          <w:rFonts w:hint="eastAsia" w:ascii="宋体" w:hAnsi="宋体" w:cs="Times New Roman"/>
          <w:color w:val="000000"/>
          <w:sz w:val="24"/>
          <w:szCs w:val="24"/>
          <w:highlight w:val="none"/>
          <w:lang w:val="en-US" w:eastAsia="zh-CN"/>
        </w:rPr>
        <w:t xml:space="preserve">以及</w:t>
      </w:r>
      <w:r>
        <w:rPr>
          <w:rFonts w:hint="eastAsia" w:ascii="宋体" w:hAnsi="宋体" w:eastAsia="宋体" w:cs="Times New Roman"/>
          <w:color w:val="000000"/>
          <w:sz w:val="24"/>
          <w:szCs w:val="24"/>
          <w:highlight w:val="none"/>
          <w:lang w:val="en-US" w:eastAsia="zh-CN"/>
        </w:rPr>
        <w:t xml:space="preserve">不定期对</w:t>
      </w:r>
      <w:r>
        <w:rPr>
          <w:rFonts w:hint="eastAsia" w:ascii="宋体" w:hAnsi="宋体" w:cs="Times New Roman"/>
          <w:color w:val="000000"/>
          <w:sz w:val="24"/>
          <w:szCs w:val="24"/>
          <w:highlight w:val="none"/>
          <w:lang w:val="en-US" w:eastAsia="zh-CN"/>
        </w:rPr>
        <w:t xml:space="preserve">其</w:t>
      </w:r>
      <w:r>
        <w:rPr>
          <w:rFonts w:hint="eastAsia" w:ascii="宋体" w:hAnsi="宋体" w:eastAsia="宋体" w:cs="Times New Roman"/>
          <w:color w:val="000000"/>
          <w:sz w:val="24"/>
          <w:szCs w:val="24"/>
          <w:highlight w:val="none"/>
          <w:lang w:val="en-US" w:eastAsia="zh-CN"/>
        </w:rPr>
        <w:t xml:space="preserve">进行飞检，</w:t>
      </w:r>
      <w:r>
        <w:rPr>
          <w:rFonts w:hint="eastAsia" w:ascii="宋体" w:hAnsi="宋体" w:eastAsia="宋体" w:cs="宋体"/>
          <w:color w:val="000000"/>
          <w:sz w:val="24"/>
          <w:szCs w:val="24"/>
          <w:highlight w:val="none"/>
          <w:lang w:val="en-US" w:eastAsia="zh-CN"/>
        </w:rPr>
        <w:t xml:space="preserve">对质量不符合现行版《中华人民共和国药典》《中华人民共和国药典临床用药须知（中药饮片卷）》《江苏省中药饮片炮制规范》等要求的</w:t>
      </w:r>
      <w:r>
        <w:rPr>
          <w:rFonts w:hint="eastAsia" w:ascii="宋体" w:hAnsi="宋体" w:eastAsia="宋体" w:cs="Times New Roman"/>
          <w:color w:val="000000"/>
          <w:sz w:val="24"/>
          <w:szCs w:val="24"/>
          <w:highlight w:val="none"/>
          <w:lang w:val="en-US" w:eastAsia="zh-CN"/>
        </w:rPr>
        <w:t xml:space="preserve">，可以进行退货处理</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不合格次数一年累计满3次，院方可随时终止合同。</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6.如甲方有需要其他不在此次清单内的中药饮片，则按同等级</w:t>
      </w:r>
      <w:r>
        <w:rPr>
          <w:rFonts w:hint="eastAsia" w:ascii="宋体" w:hAnsi="宋体" w:cs="宋体"/>
          <w:color w:val="000000"/>
          <w:sz w:val="24"/>
          <w:szCs w:val="24"/>
          <w:highlight w:val="none"/>
          <w:lang w:val="en-US" w:eastAsia="zh-CN"/>
        </w:rPr>
        <w:t xml:space="preserve">社区卫生服务中心</w:t>
      </w:r>
      <w:r>
        <w:rPr>
          <w:rFonts w:hint="eastAsia" w:ascii="宋体" w:hAnsi="宋体" w:eastAsia="宋体" w:cs="宋体"/>
          <w:color w:val="000000"/>
          <w:sz w:val="24"/>
          <w:szCs w:val="24"/>
          <w:highlight w:val="none"/>
        </w:rPr>
        <w:t xml:space="preserve">供货价</w:t>
      </w:r>
      <w:r>
        <w:rPr>
          <w:rFonts w:hint="eastAsia" w:hAnsi="宋体" w:eastAsia="宋体" w:cs="宋体"/>
          <w:color w:val="000000"/>
          <w:sz w:val="24"/>
          <w:szCs w:val="24"/>
          <w:highlight w:val="none"/>
          <w:lang w:val="en-US" w:eastAsia="zh-CN"/>
        </w:rPr>
        <w:t xml:space="preserve">*</w:t>
      </w:r>
      <w:r>
        <w:rPr>
          <w:rFonts w:hint="eastAsia" w:hAnsi="宋体" w:cs="宋体"/>
          <w:color w:val="000000"/>
          <w:sz w:val="24"/>
          <w:szCs w:val="24"/>
          <w:highlight w:val="none"/>
          <w:lang w:val="en-US" w:eastAsia="zh-CN"/>
        </w:rPr>
        <w:t xml:space="preserve">（1-</w:t>
      </w:r>
      <w:r>
        <w:rPr>
          <w:rFonts w:hint="eastAsia" w:hAnsi="宋体" w:eastAsia="宋体" w:cs="宋体"/>
          <w:color w:val="000000"/>
          <w:sz w:val="24"/>
          <w:szCs w:val="24"/>
          <w:highlight w:val="none"/>
          <w:lang w:val="en-US" w:eastAsia="zh-CN"/>
        </w:rPr>
        <w:t xml:space="preserve">中标</w:t>
      </w:r>
      <w:r>
        <w:rPr>
          <w:rFonts w:hint="eastAsia" w:hAnsi="宋体" w:cs="宋体"/>
          <w:color w:val="000000"/>
          <w:sz w:val="24"/>
          <w:szCs w:val="24"/>
          <w:highlight w:val="none"/>
          <w:lang w:val="en-US" w:eastAsia="zh-CN"/>
        </w:rPr>
        <w:t xml:space="preserve">优惠</w:t>
      </w:r>
      <w:r>
        <w:rPr>
          <w:rFonts w:hint="eastAsia" w:hAnsi="宋体" w:eastAsia="宋体" w:cs="宋体"/>
          <w:color w:val="000000"/>
          <w:sz w:val="24"/>
          <w:szCs w:val="24"/>
          <w:highlight w:val="none"/>
          <w:lang w:val="en-US" w:eastAsia="zh-CN"/>
        </w:rPr>
        <w:t xml:space="preserve">率</w:t>
      </w:r>
      <w:r>
        <w:rPr>
          <w:rFonts w:hint="eastAsia"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进行结算</w:t>
      </w:r>
      <w:r>
        <w:rPr>
          <w:rFonts w:hint="eastAsia" w:hAnsi="宋体" w:eastAsia="宋体" w:cs="宋体"/>
          <w:color w:val="000000"/>
          <w:sz w:val="24"/>
          <w:szCs w:val="24"/>
          <w:highlight w:val="none"/>
          <w:lang w:val="en-US" w:eastAsia="zh-CN"/>
        </w:rPr>
        <w:t xml:space="preserve">或甲乙方协商定价</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服务期内，饮片价格原则上不予调整，若因市场波动极大或政策性原因，个别饮片需调价，必须出具书面说明，甲方同意后双方协商定价。</w:t>
      </w:r>
      <w:r>
        <w:rPr>
          <w:rFonts w:ascii="宋体" w:hAnsi="宋体" w:eastAsia="宋体" w:cs="宋体"/>
          <w:color w:val="000000"/>
          <w:sz w:val="24"/>
          <w:szCs w:val="24"/>
          <w:highlight w:val="none"/>
          <w:lang w:val="en-US" w:eastAsia="zh-CN"/>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（二）甲方义务：</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1.负责与本项目有关的第三方的协调，提供开展服务工作的外部条件。</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2.向乙方提供与本项目有关的资料。</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3.甲方须将需要代送或代煎的药品处方、用户等详细信息按照双方约定的方式实时传送给乙方，以确保业务的正常开展。</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4.及时与乙方进行对账，并按约定及时向乙方支付费用。</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五、乙方权利与义务</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（一）乙方权利：</w:t>
      </w:r>
      <w:r>
        <w:rPr>
          <w:rFonts w:hint="eastAsia" w:ascii="宋体" w:hAnsi="宋体" w:eastAsia="宋体" w:cs="宋体"/>
          <w:color w:val="000000"/>
          <w:sz w:val="24"/>
          <w:szCs w:val="24"/>
          <w:highlight w:val="none"/>
        </w:rPr>
      </w:r>
      <w:r/>
    </w:p>
    <w:p>
      <w:pPr>
        <w:pStyle w:val="767"/>
        <w:ind w:left="479"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1.乙方在本项目服务过程中，如甲方提供的资料不明确时可向甲方提出书面报告。</w:t>
      </w:r>
      <w:r>
        <w:rPr>
          <w:rFonts w:hint="eastAsia" w:ascii="宋体" w:hAnsi="宋体" w:eastAsia="宋体" w:cs="宋体"/>
          <w:color w:val="000000"/>
          <w:sz w:val="24"/>
          <w:szCs w:val="24"/>
          <w:highlight w:val="none"/>
        </w:rPr>
      </w:r>
      <w:r/>
    </w:p>
    <w:p>
      <w:pPr>
        <w:pStyle w:val="767"/>
        <w:ind w:left="479" w:firstLine="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（二）乙方义务：</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1.为保证患者的用药安全，乙方需按照药品经营管理的有关规定，对采购的药品开展收货、验收、质检、养护等相关工作，并保证药品在配送过程中的时效性及温湿度环境的可控性，做好药品质量的管理工作。</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2.物流包装箱和包装袋由乙方提供，费用由乙方承担。乙方做好药品包装材质检查、合规及药品包装工作，避免药品配送过程中出现包装破损。如包装破损，不得交付患者。</w:t>
      </w:r>
      <w:r>
        <w:rPr>
          <w:rFonts w:hint="eastAsia" w:ascii="宋体" w:hAnsi="宋体" w:eastAsia="宋体" w:cs="宋体"/>
          <w:color w:val="000000"/>
          <w:sz w:val="24"/>
          <w:szCs w:val="24"/>
          <w:highlight w:val="none"/>
          <w:lang w:val="en-US" w:eastAsia="zh-CN"/>
        </w:rPr>
        <w:t xml:space="preserve">因配送导致包装破损或其他纠纷问题由</w:t>
      </w:r>
      <w:r>
        <w:rPr>
          <w:rFonts w:hint="eastAsia"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负责与快递公司协商解决。</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3.乙方应确保用于代煎服务的中药饮片质量均应符合《中华人民共和国药典</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江苏省中药饮片炮制规范》等标准，且达到</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使用中药饮片质量的要求。（详见下表）</w:t>
      </w:r>
      <w:r>
        <w:rPr>
          <w:rFonts w:hint="eastAsia" w:ascii="宋体" w:hAnsi="宋体" w:eastAsia="宋体" w:cs="宋体"/>
          <w:color w:val="000000"/>
          <w:sz w:val="24"/>
          <w:szCs w:val="24"/>
          <w:highlight w:val="none"/>
        </w:rPr>
      </w:r>
      <w:r/>
    </w:p>
    <w:p>
      <w:pPr>
        <w:pStyle w:val="767"/>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中药饮片代煎服务要求</w:t>
      </w:r>
      <w:r>
        <w:rPr>
          <w:rFonts w:hint="eastAsia" w:ascii="宋体" w:hAnsi="宋体" w:eastAsia="宋体" w:cs="宋体"/>
          <w:color w:val="000000"/>
          <w:sz w:val="24"/>
          <w:szCs w:val="24"/>
          <w:highlight w:val="none"/>
        </w:rPr>
      </w:r>
      <w:r/>
    </w:p>
    <w:tbl>
      <w:tblPr>
        <w:tblW w:w="89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263"/>
      </w:tblGrid>
      <w:tr>
        <w:trPr/>
        <w:tc>
          <w:tcPr>
            <w:tcW w:w="1671" w:type="dxa"/>
            <w:vAlign w:val="center"/>
            <w:vMerge w:val="restart"/>
            <w:textDirection w:val="lrTb"/>
            <w:noWrap w:val="false"/>
          </w:tcPr>
          <w:p>
            <w:pPr>
              <w:pStyle w:val="730"/>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场地设施和加工用具</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2.设置中药煎药专用饮片仓库，仓储管理符合GSP的相关要求。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3.加强煎药设备的维护养护和分类管理，设备有明显状态标识。</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4.煎药场所应定期消毒</w:t>
            </w:r>
            <w:r>
              <w:rPr>
                <w:rFonts w:hint="eastAsia" w:ascii="宋体" w:hAnsi="宋体" w:eastAsia="宋体" w:cs="宋体"/>
                <w:b w:val="0"/>
                <w:bCs w:val="0"/>
                <w:color w:val="000000"/>
                <w:sz w:val="24"/>
                <w:szCs w:val="24"/>
                <w:highlight w:val="none"/>
                <w:lang w:val="en-US" w:eastAsia="zh-CN"/>
              </w:rPr>
            </w:r>
            <w:r/>
          </w:p>
        </w:tc>
      </w:tr>
      <w:tr>
        <w:trPr>
          <w:trHeight w:val="488"/>
        </w:trPr>
        <w:tc>
          <w:tcPr>
            <w:tcW w:w="1671" w:type="dxa"/>
            <w:vAlign w:val="center"/>
            <w:vMerge w:val="restart"/>
            <w:textDirection w:val="lrTb"/>
            <w:noWrap w:val="false"/>
          </w:tcPr>
          <w:p>
            <w:pPr>
              <w:pStyle w:val="73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岗位人员要求</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1.煎药部门负责人应具有</w:t>
            </w: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2.从事中药调配、复核与煎药岗位操作人员参照《食品从业人员健康标准》，上岗前及每年进行健康体检，并建立健康档案。</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restart"/>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代煎调配</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1.生产企业应使用自产饮片，</w:t>
            </w:r>
            <w:r>
              <w:rPr>
                <w:rFonts w:hint="eastAsia" w:ascii="宋体" w:hAnsi="宋体" w:cs="宋体"/>
                <w:b w:val="0"/>
                <w:bCs w:val="0"/>
                <w:color w:val="000000"/>
                <w:sz w:val="24"/>
                <w:szCs w:val="24"/>
                <w:highlight w:val="none"/>
                <w:lang w:val="en-US" w:eastAsia="zh-CN"/>
              </w:rPr>
              <w:t xml:space="preserve">做好</w:t>
            </w:r>
            <w:r>
              <w:rPr>
                <w:rFonts w:hint="eastAsia" w:ascii="宋体" w:hAnsi="宋体" w:eastAsia="宋体" w:cs="宋体"/>
                <w:b w:val="0"/>
                <w:bCs w:val="0"/>
                <w:color w:val="000000"/>
                <w:sz w:val="24"/>
                <w:szCs w:val="24"/>
                <w:highlight w:val="none"/>
                <w:lang w:val="en-US" w:eastAsia="zh-CN"/>
              </w:rPr>
              <w:t xml:space="preserve">煎药专用饮片仓库进出库记录台账和批号追踪管理。应从具有合法企业资质的企业采购符合“中国药典”及“江苏省中药饮片炮制规范”质量标准的饮片进行调配。</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restart"/>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技术标准</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1.中药饮片质量标准：符合现行版《中华人民共和国药典》及《江苏省中药饮片炮制规范》。</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2.煎药机煎液包装膜材质：PET/PE耐高温无毒，符合药品包装材料药用复合膜通则规定要求。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3.汤剂质量标准：①药料煎透度：汁浓味厚，色泽均匀，无可见异物；②药液装量：分装均匀，装量差异控制在±5%以内；③药液包装袋封口平整完好，无渗漏，无药汁污染。</w:t>
            </w:r>
            <w:r>
              <w:rPr>
                <w:rFonts w:hint="eastAsia" w:ascii="宋体" w:hAnsi="宋体" w:eastAsia="宋体" w:cs="宋体"/>
                <w:b w:val="0"/>
                <w:bCs w:val="0"/>
                <w:color w:val="000000"/>
                <w:sz w:val="24"/>
                <w:szCs w:val="24"/>
                <w:highlight w:val="none"/>
                <w:lang w:val="en-US" w:eastAsia="zh-CN"/>
              </w:rPr>
            </w:r>
            <w:r/>
          </w:p>
        </w:tc>
      </w:tr>
    </w:tbl>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4.乙方确保提供的代煎服务具有以下质量保证体系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（1）质量保证管理制度、职责和管理规范；</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（2）有质量的煎药设备，能满足</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煎药数量以及特色煎制的要求；</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（3）有规范的操作记录，建立质量跟踪、追溯、监控体系。</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5.乙方确保代煎药剂有完善的配送管理制度和流程，确保配送及时、准确。</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6.为保证甲方代煎配送服务质量，乙方与甲方建立中药代配代煎信息化平台，其中所需一切费用均由乙方承担，具体如下：</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门诊处方信息传递</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医师开具的电子处方经过</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HIS系统传送到药房系统终端，标识为饮片的处方转入代配代煎系统，经过药师审核、信息录入后传送至代配代煎中心。</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病区医嘱信息传递</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医生为住院患者开立医嘱时，需要明确患者住院用药、出院带药以及药物是否需要代煎服务，相关医嘱转入代配代煎系统，经过药师审核、信息录入后传送至代配代煎中心。</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饮片代加工全过程可远程视频监控，乙方负责在</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指定区域布置监控设备，并提供所需软硬件。</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7.乙方供应的中药饮片保证符合国家相关质量标准，如因产品质量</w:t>
      </w:r>
      <w:r>
        <w:rPr>
          <w:rFonts w:hint="eastAsia" w:hAnsi="宋体" w:eastAsia="宋体" w:cs="宋体"/>
          <w:color w:val="000000"/>
          <w:sz w:val="24"/>
          <w:szCs w:val="24"/>
          <w:highlight w:val="none"/>
          <w:lang w:eastAsia="zh-CN"/>
        </w:rPr>
        <w:t xml:space="preserve">或其他</w:t>
      </w:r>
      <w:r>
        <w:rPr>
          <w:rFonts w:hint="eastAsia" w:ascii="宋体" w:hAnsi="宋体" w:eastAsia="宋体" w:cs="宋体"/>
          <w:color w:val="000000"/>
          <w:sz w:val="24"/>
          <w:szCs w:val="24"/>
          <w:highlight w:val="none"/>
        </w:rPr>
        <w:t xml:space="preserve">问题导致不良后果，乙方负责相应的经济及法律责任。</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8.中药代煎及配送服务要求：</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乙方提供中药饮片代煎服务所使用的场地、设备、包装材料、环境卫生和煎药人员资质等符合《医院中药饮片管理规范》《医疗机构中药煎药室管理规范》和《中药煎药机》《中药汤剂包装机》</w:t>
      </w:r>
      <w:r>
        <w:rPr>
          <w:rFonts w:hint="eastAsia" w:ascii="宋体" w:hAnsi="宋体" w:eastAsia="宋体" w:cs="宋体"/>
          <w:b w:val="0"/>
          <w:bCs w:val="0"/>
          <w:color w:val="000000"/>
          <w:sz w:val="24"/>
          <w:szCs w:val="24"/>
          <w:highlight w:val="none"/>
          <w:lang w:val="en-US" w:eastAsia="zh-CN"/>
        </w:rPr>
        <w:t xml:space="preserve">《江苏省中药饮片代煎服务质量管理规范》</w:t>
      </w:r>
      <w:r>
        <w:rPr>
          <w:rFonts w:hint="eastAsia" w:ascii="宋体" w:hAnsi="宋体" w:eastAsia="宋体" w:cs="宋体"/>
          <w:color w:val="000000"/>
          <w:sz w:val="24"/>
          <w:szCs w:val="24"/>
          <w:highlight w:val="none"/>
        </w:rPr>
        <w:t xml:space="preserve">等行业标准。</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为了保证代煎中药质量，乙方对每个操作步骤都作出详细规定，并做好记录可供追溯，全程均有监控录像，做到每个操作步骤都有记录存档，有质量跟踪。</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现场环境整洁，不存在废水、废气、废渣等污染问题。</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煎药质量保证</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煎药时长、温度、文武火、先煎后下等煎煮条件由计算机设置，避免人为操作失误，实现煎药过程标准化。</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熬膏辅料齐全，至少包括冰糖、饴糖、木糖醇、蜂蜜、元贞糖，以及核桃肉、黑芝麻。</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9.为甲方科室</w:t>
      </w:r>
      <w:r>
        <w:rPr>
          <w:rFonts w:hint="eastAsia"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赋能方案</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违约责任</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除不可抗力外，如果乙方没有按照本合同约定的服务响应时间、地点和方式履行，每发现一次或接到一次投诉则处违约金100元，累计次数超过10次，甲方有权在要求乙方支付违约金的同时，书面通知乙方解除本合同</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若患者进行饮片质量投诉等，经查核属实质量缺陷或者违规行为，</w:t>
      </w:r>
      <w:r>
        <w:rPr>
          <w:rFonts w:hint="eastAsia" w:ascii="宋体" w:hAnsi="宋体" w:eastAsia="宋体" w:cs="宋体"/>
          <w:color w:val="000000"/>
          <w:sz w:val="24"/>
          <w:szCs w:val="24"/>
          <w:highlight w:val="none"/>
        </w:rPr>
        <w:t xml:space="preserve">则处违约金100元</w:t>
      </w:r>
      <w:r>
        <w:rPr>
          <w:rFonts w:hint="eastAsia" w:hAnsi="宋体" w:eastAsia="宋体" w:cs="宋体"/>
          <w:color w:val="000000"/>
          <w:sz w:val="24"/>
          <w:szCs w:val="24"/>
          <w:highlight w:val="none"/>
          <w:lang w:val="en-US" w:eastAsia="zh-CN"/>
        </w:rPr>
        <w:t xml:space="preserve">且赔偿相应损失，</w:t>
      </w:r>
      <w:r>
        <w:rPr>
          <w:rFonts w:hint="eastAsia" w:ascii="宋体" w:hAnsi="宋体" w:eastAsia="宋体" w:cs="宋体"/>
          <w:color w:val="000000"/>
          <w:sz w:val="24"/>
          <w:szCs w:val="24"/>
          <w:highlight w:val="none"/>
        </w:rPr>
        <w:t xml:space="preserve">累计次数超过10次，甲方有权在要求乙方支付违约金的同时，书面通知乙方解除本合同</w:t>
      </w:r>
      <w:r>
        <w:rPr>
          <w:rFonts w:hint="eastAsia" w:hAnsi="宋体" w:eastAsia="宋体" w:cs="宋体"/>
          <w:color w:val="000000"/>
          <w:sz w:val="24"/>
          <w:szCs w:val="24"/>
          <w:highlight w:val="none"/>
          <w:lang w:val="en-US" w:eastAsia="zh-CN"/>
        </w:rPr>
        <w:t xml:space="preserve">。情节严重者，按相关法律法规追究乙方责任。</w:t>
      </w:r>
      <w:r>
        <w:rPr>
          <w:rFonts w:ascii="宋体" w:hAnsi="宋体" w:eastAsia="宋体" w:cs="宋体"/>
          <w:color w:val="000000"/>
          <w:sz w:val="24"/>
          <w:szCs w:val="24"/>
          <w:highlight w:val="none"/>
          <w:lang w:val="en-US" w:eastAsia="zh-CN"/>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6.中药饮片出现混装、与提供信息不相符者，则甲方有权取消乙方的所有中药饮片配送资格。</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7.若发生产品质量</w:t>
      </w:r>
      <w:r>
        <w:rPr>
          <w:rFonts w:hint="eastAsia" w:hAnsi="宋体" w:eastAsia="宋体" w:cs="宋体"/>
          <w:color w:val="000000"/>
          <w:sz w:val="24"/>
          <w:szCs w:val="24"/>
          <w:highlight w:val="none"/>
          <w:lang w:eastAsia="zh-CN"/>
        </w:rPr>
        <w:t xml:space="preserve">或其他</w:t>
      </w:r>
      <w:r>
        <w:rPr>
          <w:rFonts w:hint="eastAsia" w:ascii="宋体" w:hAnsi="宋体" w:eastAsia="宋体" w:cs="宋体"/>
          <w:color w:val="000000"/>
          <w:sz w:val="24"/>
          <w:szCs w:val="24"/>
          <w:highlight w:val="none"/>
        </w:rPr>
        <w:t xml:space="preserve">问题导致不良后果的，甲方可随时终止合同，由乙方全权负责处理纠纷并承担赔偿责任。</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七、合同争议的解决</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本合同履行过程中发生的任何争议，双方当事人均可通过和解或者调解解决；不愿和解、调解或者和解、调解不成的，向甲方所在地人民法院起诉。</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八、合同生效</w:t>
      </w:r>
      <w:r>
        <w:rPr>
          <w:rFonts w:hint="eastAsia" w:ascii="宋体" w:hAnsi="宋体" w:eastAsia="宋体" w:cs="宋体"/>
          <w:color w:val="000000"/>
          <w:sz w:val="24"/>
          <w:szCs w:val="24"/>
          <w:highlight w:val="none"/>
        </w:rPr>
      </w:r>
      <w:r/>
    </w:p>
    <w:p>
      <w:pPr>
        <w:pStyle w:val="76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本合同自双方当事人盖章或者签字</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7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无锡市梁溪区黄巷街道社区卫生服务中心</w:t>
      </w:r>
      <w:r>
        <w:rPr>
          <w:rFonts w:hint="eastAsia" w:ascii="宋体" w:hAnsi="宋体" w:eastAsia="宋体" w:cs="宋体"/>
          <w:color w:val="000000"/>
          <w:sz w:val="24"/>
          <w:szCs w:val="24"/>
          <w:highlight w:val="none"/>
        </w:rPr>
        <w:t xml:space="preserve">（盖章）乙方：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7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p>
      <w:pPr>
        <w:pStyle w:val="7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30"/>
        <w:ind w:right="119" w:firstLine="720"/>
        <w:spacing w:before="115"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年   月   日                             年   月   日   </w:t>
      </w:r>
      <w:r>
        <w:rPr>
          <w:rFonts w:hint="eastAsia"/>
          <w:color w:val="000000"/>
          <w:highlight w:val="none"/>
        </w:rPr>
        <w:t xml:space="preserve"> </w:t>
      </w:r>
      <w:r>
        <w:rPr>
          <w:rFonts w:hint="eastAsia" w:ascii="宋体" w:hAnsi="宋体" w:eastAsia="宋体" w:cs="宋体"/>
          <w:b/>
          <w:color w:val="000000"/>
          <w:sz w:val="24"/>
          <w:szCs w:val="24"/>
          <w:highlight w:val="none"/>
        </w:rPr>
      </w:r>
      <w:r/>
    </w:p>
    <w:p>
      <w:pPr>
        <w:pStyle w:val="817"/>
        <w:ind w:left="267" w:right="369" w:firstLine="464"/>
        <w:jc w:val="center"/>
        <w:tabs>
          <w:tab w:val="left" w:pos="360" w:leader="none"/>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17"/>
        <w:ind w:left="267" w:right="369" w:firstLine="464"/>
        <w:jc w:val="center"/>
        <w:tabs>
          <w:tab w:val="left" w:pos="360" w:leader="none"/>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17"/>
        <w:ind w:left="267" w:right="369" w:firstLine="464"/>
        <w:jc w:val="center"/>
        <w:tabs>
          <w:tab w:val="left" w:pos="360" w:leader="none"/>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17"/>
        <w:ind w:left="267" w:right="369" w:firstLine="464"/>
        <w:jc w:val="center"/>
        <w:tabs>
          <w:tab w:val="left" w:pos="360" w:leader="none"/>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17"/>
        <w:ind w:left="267" w:right="369" w:firstLine="464"/>
        <w:jc w:val="center"/>
        <w:tabs>
          <w:tab w:val="left" w:pos="360" w:leader="none"/>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3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817"/>
        <w:ind w:left="267" w:right="369" w:firstLine="464"/>
        <w:jc w:val="left"/>
        <w:tabs>
          <w:tab w:val="left" w:pos="360" w:leader="none"/>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lang w:val="en-US" w:eastAsia="zh-CN"/>
        </w:rPr>
      </w:r>
      <w:r/>
    </w:p>
    <w:tbl>
      <w:tblPr>
        <w:tblW w:w="834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896"/>
        <w:gridCol w:w="1800"/>
        <w:gridCol w:w="1838"/>
        <w:gridCol w:w="1838"/>
      </w:tblGrid>
      <w:tr>
        <w:trPr>
          <w:trHeight w:val="271"/>
        </w:trPr>
        <w:tc>
          <w:tcPr>
            <w:tcBorders>
              <w:top w:val="single" w:color="000000" w:sz="8" w:space="0"/>
              <w:left w:val="single" w:color="000000" w:sz="8" w:space="0"/>
              <w:bottom w:val="single" w:color="000000" w:sz="8" w:space="0"/>
              <w:right w:val="single" w:color="000000" w:sz="8" w:space="0"/>
            </w:tcBorders>
            <w:tcW w:w="972" w:type="dxa"/>
            <w:vAlign w:val="bottom"/>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药品名称</w:t>
            </w:r>
            <w:r>
              <w:rPr>
                <w:rFonts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药品规格</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单价（元/（kg/袋））</w:t>
            </w:r>
            <w:r>
              <w:rPr>
                <w:rFonts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产地</w:t>
            </w:r>
            <w:r>
              <w:rPr>
                <w:rFonts w:ascii="宋体" w:hAnsi="宋体" w:eastAsia="宋体" w:cs="宋体"/>
                <w:i w:val="0"/>
                <w:iCs w:val="0"/>
                <w:color w:val="000000"/>
                <w:sz w:val="24"/>
                <w:szCs w:val="24"/>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3g/袋</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八月札（预知子）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巴戟天</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白扁豆</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白芥子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荜茇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萆薢</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冰球子（山慈菇）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补骨脂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苍耳子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藏青果（西青果）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蟾衣</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炒当归</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炒杜仲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炒谷芽</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炒僵蚕</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炒苡仁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炒枳壳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炒枳实</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茺蔚子（益母子）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川楝子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川牛膝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大茴香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大力子(牛蒡子)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代赭石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地鳖虫</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地龙干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6"/>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冬葵子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独一味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杜仲叶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莪术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蜂房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功劳叶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枸橘李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瓜蒌皮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瓜蒌仁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广木香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鬼球（木馒头）</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海螵蛸（乌贼骨）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杭菊花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黑附片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3g/袋</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红曲米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胡黄连</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怀牛膝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黄精</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黄芩</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黄药子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火麻仁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鸡内金（炒）</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急性子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僵蚕</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九香虫</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橘核</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决明子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开心果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苦杏仁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款冬花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莱菔子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鹿衔草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罗汉果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绿梅花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蔓荆子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茉莉花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木蝴蝶（千张纸）</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木通</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女贞子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枇杷叶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平地木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蕲蛇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全瓜蒌</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肉苁蓉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乳香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桑螵蛸</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沙苑子（潼蒺藜）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山柰</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山萸肉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蛇莓</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生大黄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生龙骨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生牡蛎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生山楂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生苡仁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石斛</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首乌藤（夜交藤）</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蜀羊泉（白英）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水红花子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水蛭</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苏梗</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苏叶</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酸枣仁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桃仁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田基黄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透骨草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土牛膝</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瓦楞子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王不留行</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乌梅</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乌梢蛇</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吴茱萸</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五灵脂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五味子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喜树果</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仙灵脾（淫羊藿）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香橼皮</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小茴香</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薤白头</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续断</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寻骨风</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鸭跖草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益母草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益智仁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银柴胡</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鱼腥草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泽泻</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珍珠母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制半夏</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制大黄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制狗脊</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制南星</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制首乌</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制香附</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炙百部</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炙红芪</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珠子参</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竹茹</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紫苏子</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bottom"/>
            <w:textDirection w:val="lrTb"/>
            <w:noWrap/>
          </w:tcPr>
          <w:p>
            <w:pPr>
              <w:pStyle w:val="730"/>
              <w:jc w:val="righ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73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73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730"/>
        <w:ind w:firstLine="48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w:t>
      </w:r>
      <w:bookmarkEnd w:id="137"/>
      <w:r>
        <w:rPr>
          <w:rFonts w:hint="eastAsia" w:ascii="宋体" w:hAnsi="宋体" w:eastAsia="宋体" w:cs="宋体"/>
          <w:b/>
          <w:color w:val="000000"/>
          <w:sz w:val="36"/>
          <w:szCs w:val="36"/>
          <w:highlight w:val="none"/>
        </w:rPr>
        <w:t xml:space="preserve">四章 采购需求</w:t>
      </w:r>
      <w:bookmarkEnd w:id="138"/>
      <w:r/>
      <w:bookmarkEnd w:id="139"/>
      <w:r/>
      <w:bookmarkEnd w:id="140"/>
      <w:r>
        <w:rPr>
          <w:rFonts w:ascii="宋体" w:hAnsi="宋体" w:eastAsia="宋体" w:cs="宋体"/>
          <w:b/>
          <w:color w:val="000000"/>
          <w:sz w:val="36"/>
          <w:szCs w:val="36"/>
          <w:highlight w:val="none"/>
        </w:rPr>
      </w:r>
      <w:r/>
    </w:p>
    <w:p>
      <w:pPr>
        <w:pStyle w:val="730"/>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30"/>
          <w:szCs w:val="30"/>
          <w:highlight w:val="none"/>
          <w:lang w:val="en-US" w:eastAsia="zh-CN"/>
        </w:rPr>
      </w:pPr>
      <w:r/>
      <w:bookmarkStart w:id="141" w:name="_Toc120614281"/>
      <w:r/>
      <w:bookmarkStart w:id="142" w:name="_Toc49090575"/>
      <w:r/>
      <w:bookmarkStart w:id="143" w:name="_Toc26554093"/>
      <w:r>
        <w:rPr>
          <w:rFonts w:hint="eastAsia" w:ascii="宋体" w:hAnsi="宋体" w:eastAsia="宋体" w:cs="宋体"/>
          <w:b/>
          <w:color w:val="000000"/>
          <w:sz w:val="30"/>
          <w:szCs w:val="30"/>
          <w:highlight w:val="none"/>
          <w:lang w:val="en-US" w:eastAsia="zh-CN"/>
        </w:rPr>
        <w:t xml:space="preserve">第一部分  项目需求</w:t>
      </w:r>
      <w:r>
        <w:rPr>
          <w:rFonts w:hint="eastAsia" w:ascii="宋体" w:hAnsi="宋体" w:eastAsia="宋体" w:cs="宋体"/>
          <w:b/>
          <w:color w:val="000000"/>
          <w:sz w:val="30"/>
          <w:szCs w:val="30"/>
          <w:highlight w:val="none"/>
          <w:lang w:val="en-US" w:eastAsia="zh-CN"/>
        </w:rPr>
      </w:r>
      <w:r/>
    </w:p>
    <w:p>
      <w:pPr>
        <w:pStyle w:val="730"/>
        <w:ind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一、项目简介：</w:t>
      </w:r>
      <w:r>
        <w:rPr>
          <w:rFonts w:hint="eastAsia" w:ascii="宋体" w:hAnsi="宋体"/>
          <w:color w:val="000000"/>
          <w:sz w:val="24"/>
          <w:szCs w:val="24"/>
          <w:highlight w:val="none"/>
        </w:rPr>
        <w:t xml:space="preserve">为规范中药饮片采购渠道，统一质量标准，保障中药饮片质量和供给，促进中医药事业发展，结合国家相关政策，拟采购中药饮片集中代加工及配送服务。此项服务需提供所需合格的中药饮片，且利用信息技术优势和规模优势，为采购客户提供代配、代煎、熬膏等中药代加工服务，并将配好的药方或汤剂、膏剂</w:t>
      </w:r>
      <w:r>
        <w:rPr>
          <w:rFonts w:hint="eastAsia" w:ascii="宋体" w:hAnsi="宋体"/>
          <w:strike w:val="0"/>
          <w:color w:val="000000"/>
          <w:sz w:val="24"/>
          <w:szCs w:val="24"/>
          <w:highlight w:val="none"/>
        </w:rPr>
        <w:t xml:space="preserve">、</w:t>
      </w:r>
      <w:r>
        <w:rPr>
          <w:rFonts w:hint="eastAsia" w:ascii="宋体" w:hAnsi="宋体"/>
          <w:strike w:val="0"/>
          <w:color w:val="000000"/>
          <w:sz w:val="24"/>
          <w:szCs w:val="24"/>
          <w:highlight w:val="none"/>
          <w:lang w:val="en-US" w:eastAsia="zh-CN"/>
        </w:rPr>
        <w:t xml:space="preserve">丸剂</w:t>
      </w:r>
      <w:r>
        <w:rPr>
          <w:rFonts w:hint="eastAsia" w:ascii="宋体" w:hAnsi="宋体"/>
          <w:color w:val="000000"/>
          <w:sz w:val="24"/>
          <w:szCs w:val="24"/>
          <w:highlight w:val="none"/>
        </w:rPr>
        <w:t xml:space="preserve">等代加工后的成品配送到</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或客户手中</w:t>
      </w:r>
      <w:r>
        <w:rPr>
          <w:rFonts w:hint="eastAsia" w:ascii="宋体" w:hAnsi="宋体" w:cs="宋体"/>
          <w:color w:val="000000"/>
          <w:sz w:val="24"/>
          <w:highlight w:val="none"/>
          <w:lang w:eastAsia="zh-CN"/>
        </w:rPr>
        <w:t xml:space="preserve">。</w:t>
      </w:r>
      <w:r>
        <w:rPr>
          <w:rFonts w:hint="eastAsia" w:ascii="宋体" w:hAnsi="宋体" w:eastAsia="宋体" w:cs="宋体"/>
          <w:b/>
          <w:bCs w:val="0"/>
          <w:color w:val="000000"/>
          <w:sz w:val="24"/>
          <w:szCs w:val="24"/>
          <w:highlight w:val="none"/>
          <w:lang w:val="en-US" w:eastAsia="zh-CN" w:bidi="ar-SA"/>
        </w:rPr>
      </w:r>
      <w:r/>
    </w:p>
    <w:p>
      <w:pPr>
        <w:pStyle w:val="730"/>
        <w:numPr>
          <w:ilvl w:val="0"/>
          <w:numId w:val="10"/>
        </w:numPr>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服务期限：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2年</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（合同一年一签）一年期满，采购人视考核及评价结果决定是否续签。</w:t>
      </w:r>
      <w:r>
        <w:rPr>
          <w:rFonts w:hint="eastAsia" w:ascii="宋体" w:hAnsi="宋体" w:eastAsia="宋体" w:cs="宋体"/>
          <w:color w:val="000000"/>
          <w:sz w:val="24"/>
          <w:highlight w:val="none"/>
        </w:rPr>
        <w:t xml:space="preserve">若发生产品质量</w:t>
      </w:r>
      <w:r>
        <w:rPr>
          <w:rFonts w:hint="eastAsia" w:ascii="宋体" w:hAnsi="宋体" w:eastAsia="宋体" w:cs="宋体"/>
          <w:color w:val="000000"/>
          <w:sz w:val="24"/>
          <w:highlight w:val="none"/>
          <w:lang w:eastAsia="zh-CN"/>
        </w:rPr>
        <w:t xml:space="preserve">或其他</w:t>
      </w:r>
      <w:r>
        <w:rPr>
          <w:rFonts w:hint="eastAsia" w:ascii="宋体" w:hAnsi="宋体" w:eastAsia="宋体" w:cs="宋体"/>
          <w:color w:val="000000"/>
          <w:sz w:val="24"/>
          <w:highlight w:val="none"/>
        </w:rPr>
        <w:t xml:space="preserve">问题导致不良后果的</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可随时终止合同</w:t>
      </w:r>
      <w:r>
        <w:rPr>
          <w:rFonts w:hint="eastAsia" w:ascii="宋体" w:hAnsi="宋体" w:eastAsia="宋体" w:cs="宋体"/>
          <w:color w:val="000000"/>
          <w:sz w:val="24"/>
          <w:highlight w:val="none"/>
          <w:lang w:eastAsia="zh-CN"/>
        </w:rPr>
        <w:t xml:space="preserve">。</w:t>
      </w:r>
      <w:r>
        <w:rPr>
          <w:rFonts w:hint="eastAsia" w:ascii="宋体" w:hAnsi="宋体" w:eastAsia="宋体" w:cs="Times New Roman"/>
          <w:b/>
          <w:bCs/>
          <w:color w:val="000000"/>
          <w:sz w:val="24"/>
          <w:szCs w:val="24"/>
          <w:highlight w:val="none"/>
          <w:lang w:val="en-US" w:eastAsia="zh-CN" w:bidi="ar-SA"/>
        </w:rPr>
      </w:r>
      <w:r/>
    </w:p>
    <w:p>
      <w:pPr>
        <w:pStyle w:val="730"/>
        <w:numPr>
          <w:ilvl w:val="0"/>
          <w:numId w:val="10"/>
        </w:numPr>
        <w:ind w:left="0" w:firstLine="482"/>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服务要求：</w:t>
      </w:r>
      <w:r>
        <w:rPr>
          <w:rFonts w:hint="eastAsia" w:ascii="宋体" w:hAnsi="宋体" w:eastAsia="宋体" w:cs="Times New Roman"/>
          <w:b/>
          <w:bCs/>
          <w:color w:val="000000"/>
          <w:sz w:val="24"/>
          <w:szCs w:val="24"/>
          <w:highlight w:val="none"/>
          <w:lang w:val="en-US" w:eastAsia="zh-CN" w:bidi="ar-SA"/>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1.中药品种与规格：供应商应确保用于代煎服务的中药饮片质量均应符合《中华人民共和国药典</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江苏省中药饮片炮制规范》等标准，且达到采购人使用中药饮片质量的要求</w:t>
      </w:r>
      <w:r>
        <w:rPr>
          <w:rFonts w:hint="eastAsia" w:ascii="宋体" w:hAnsi="宋体" w:cs="Times New Roman"/>
          <w:color w:val="000000"/>
          <w:sz w:val="24"/>
          <w:szCs w:val="24"/>
          <w:highlight w:val="none"/>
          <w:lang w:val="en-US" w:eastAsia="zh-CN"/>
        </w:rPr>
        <w:t xml:space="preserve">，根</w:t>
      </w:r>
      <w:r>
        <w:rPr>
          <w:rFonts w:hint="eastAsia" w:ascii="宋体" w:hAnsi="宋体" w:eastAsia="宋体" w:cs="Times New Roman"/>
          <w:color w:val="000000"/>
          <w:sz w:val="24"/>
          <w:szCs w:val="24"/>
          <w:highlight w:val="none"/>
          <w:lang w:val="en-US" w:eastAsia="zh-CN"/>
        </w:rPr>
        <w:t xml:space="preserve">据临床需求，确定每种中药的具体规格和包装形式。</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2.投标供应商应确保提供的代煎服务具有质量保证体系</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①制定质量保证管理制度、职责和管理规范；②有保证煎药质量的煎药设备，能满足采购人煎药数量以及特色煎制的要求；③有规范的操作记录，建立留样制度，建立质量跟踪、追溯、监控体系。</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3.代煎药剂配送时间应满足患者用药需要，交付时间不受节假日的影响。制定能够保证汤剂质量与用药安全的配送管理制度和流程，确保配送及时、准确。</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4.为保证中药饮片集中代加工及配送服务质量，中标供应商应与采购人建立中药代</w:t>
      </w:r>
      <w:r>
        <w:rPr>
          <w:rFonts w:hint="eastAsia" w:ascii="宋体" w:hAnsi="宋体" w:cs="Times New Roman"/>
          <w:color w:val="000000"/>
          <w:sz w:val="24"/>
          <w:szCs w:val="24"/>
          <w:highlight w:val="none"/>
          <w:lang w:val="en-US" w:eastAsia="zh-CN"/>
        </w:rPr>
        <w:t xml:space="preserve">配代</w:t>
      </w:r>
      <w:r>
        <w:rPr>
          <w:rFonts w:hint="eastAsia" w:ascii="宋体" w:hAnsi="宋体" w:eastAsia="宋体" w:cs="Times New Roman"/>
          <w:color w:val="000000"/>
          <w:sz w:val="24"/>
          <w:szCs w:val="24"/>
          <w:highlight w:val="none"/>
          <w:lang w:val="en-US" w:eastAsia="zh-CN"/>
        </w:rPr>
        <w:t xml:space="preserve">煎信息化平台，以信息化为主导，信息安全为前提，实现实施过程的闭环管理，其中所需一切费用均由中标供应商承担，具体方案要求如下：</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①门诊处方信息传递</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医师开具的电子处方经过采购人HIS系统传送到药房系统终端，标识为饮片的处方转入代配代煎系统，经过药师审核、信息录入后传送至代配代煎中心。</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②病区医嘱信息传递</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医生为住院患者开立医嘱时，需要明确患者住院用药、出院带药以及药物是否需要代煎服务，相关医嘱转入代配代煎系统，经过药师审核、信息录入后传送至代配代煎中心。</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③饮片代加工全过程可远程视频监控，中标方负责在采购人指定区域布置监控设备，并提供所需软硬件。</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5.配送服务要求：</w:t>
      </w:r>
      <w:r>
        <w:rPr>
          <w:rFonts w:hint="eastAsia" w:ascii="宋体" w:hAnsi="宋体" w:cs="Times New Roman"/>
          <w:color w:val="000000"/>
          <w:sz w:val="24"/>
          <w:szCs w:val="24"/>
          <w:highlight w:val="none"/>
          <w:lang w:val="en-US" w:eastAsia="zh-CN"/>
        </w:rPr>
        <w:t xml:space="preserve">除法定节假日，</w:t>
      </w:r>
      <w:r>
        <w:rPr>
          <w:rFonts w:hint="eastAsia" w:ascii="宋体" w:hAnsi="宋体" w:eastAsia="宋体" w:cs="Times New Roman"/>
          <w:color w:val="000000"/>
          <w:sz w:val="24"/>
          <w:szCs w:val="24"/>
          <w:highlight w:val="none"/>
          <w:lang w:val="en-US" w:eastAsia="zh-CN"/>
        </w:rPr>
        <w:t xml:space="preserve">加工方式为临方配药、煎药的，收方时间在当天17:00之前的处方送货时间为收方后第二天，当天17:00之后的处方送货时间为收方后第三天；加工方式为磨粉的，送货时间为收方后第三天；加工方式为制丸的，送货时间为收方后10天，加工方式为膏方加工的，送货时间为收方后7～10天。如遇加工量超出正常范围的，</w:t>
      </w:r>
      <w:r>
        <w:rPr>
          <w:rFonts w:hint="eastAsia" w:ascii="宋体" w:hAnsi="宋体" w:eastAsia="宋体" w:cs="宋体"/>
          <w:b w:val="0"/>
          <w:bCs w:val="0"/>
          <w:color w:val="000000"/>
          <w:sz w:val="24"/>
          <w:szCs w:val="24"/>
          <w:highlight w:val="none"/>
          <w:lang w:val="en-US" w:eastAsia="zh-CN"/>
        </w:rPr>
        <w:t xml:space="preserve">可临时协商送货时间。</w:t>
      </w:r>
      <w:r>
        <w:rPr>
          <w:rFonts w:ascii="宋体" w:hAnsi="宋体" w:eastAsia="宋体" w:cs="宋体"/>
          <w:b w:val="0"/>
          <w:bCs w:val="0"/>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6.中标人的中药饮片管理符合《中华人民共和国药品管理法》及《中华人民共和国药品管理法实施条例》《医院中药饮片管理规范》等法律规范的要求，能够接受各级部门及采购人的检查。</w:t>
      </w:r>
      <w:r>
        <w:rPr>
          <w:rFonts w:hint="eastAsia" w:ascii="宋体" w:hAnsi="宋体" w:eastAsia="宋体" w:cs="Times New Roman"/>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7.采购人</w:t>
      </w:r>
      <w:r>
        <w:rPr>
          <w:rFonts w:hint="eastAsia" w:ascii="宋体" w:hAnsi="宋体" w:cs="Times New Roman"/>
          <w:color w:val="000000"/>
          <w:sz w:val="24"/>
          <w:szCs w:val="24"/>
          <w:highlight w:val="none"/>
          <w:lang w:val="en-US" w:eastAsia="zh-CN"/>
        </w:rPr>
        <w:t xml:space="preserve">每月随机抽取中药饮片20种（不限于），中标人在规定时限内提供制药企业生产部门的质量检测报告。采购人每半年</w:t>
      </w:r>
      <w:r>
        <w:rPr>
          <w:rFonts w:hint="eastAsia" w:ascii="宋体" w:hAnsi="宋体" w:eastAsia="宋体" w:cs="Times New Roman"/>
          <w:color w:val="000000"/>
          <w:sz w:val="24"/>
          <w:szCs w:val="24"/>
          <w:highlight w:val="none"/>
          <w:lang w:val="en-US" w:eastAsia="zh-CN"/>
        </w:rPr>
        <w:t xml:space="preserve">组建中药饮片质量联合监督组，</w:t>
      </w:r>
      <w:r>
        <w:rPr>
          <w:rFonts w:hint="eastAsia" w:ascii="宋体" w:hAnsi="宋体" w:cs="Times New Roman"/>
          <w:color w:val="000000"/>
          <w:sz w:val="24"/>
          <w:szCs w:val="24"/>
          <w:highlight w:val="none"/>
          <w:lang w:val="en-US" w:eastAsia="zh-CN"/>
        </w:rPr>
        <w:t xml:space="preserve">对</w:t>
      </w:r>
      <w:r>
        <w:rPr>
          <w:rFonts w:hint="eastAsia" w:ascii="宋体" w:hAnsi="宋体" w:eastAsia="宋体" w:cs="Times New Roman"/>
          <w:color w:val="000000"/>
          <w:sz w:val="24"/>
          <w:szCs w:val="24"/>
          <w:highlight w:val="none"/>
          <w:lang w:val="en-US" w:eastAsia="zh-CN"/>
        </w:rPr>
        <w:t xml:space="preserve">中标供应商代煎现场，进行全面质量检查，</w:t>
      </w:r>
      <w:r>
        <w:rPr>
          <w:rFonts w:hint="eastAsia" w:ascii="宋体" w:hAnsi="宋体" w:cs="Times New Roman"/>
          <w:color w:val="000000"/>
          <w:sz w:val="24"/>
          <w:szCs w:val="24"/>
          <w:highlight w:val="none"/>
          <w:lang w:val="en-US" w:eastAsia="zh-CN"/>
        </w:rPr>
        <w:t xml:space="preserve">以及</w:t>
      </w:r>
      <w:r>
        <w:rPr>
          <w:rFonts w:hint="eastAsia" w:ascii="宋体" w:hAnsi="宋体" w:eastAsia="宋体" w:cs="Times New Roman"/>
          <w:color w:val="000000"/>
          <w:sz w:val="24"/>
          <w:szCs w:val="24"/>
          <w:highlight w:val="none"/>
          <w:lang w:val="en-US" w:eastAsia="zh-CN"/>
        </w:rPr>
        <w:t xml:space="preserve">不定期对</w:t>
      </w:r>
      <w:r>
        <w:rPr>
          <w:rFonts w:hint="eastAsia" w:ascii="宋体" w:hAnsi="宋体" w:cs="Times New Roman"/>
          <w:color w:val="000000"/>
          <w:sz w:val="24"/>
          <w:szCs w:val="24"/>
          <w:highlight w:val="none"/>
          <w:lang w:val="en-US" w:eastAsia="zh-CN"/>
        </w:rPr>
        <w:t xml:space="preserve">其</w:t>
      </w:r>
      <w:r>
        <w:rPr>
          <w:rFonts w:hint="eastAsia" w:ascii="宋体" w:hAnsi="宋体" w:eastAsia="宋体" w:cs="Times New Roman"/>
          <w:color w:val="000000"/>
          <w:sz w:val="24"/>
          <w:szCs w:val="24"/>
          <w:highlight w:val="none"/>
          <w:lang w:val="en-US" w:eastAsia="zh-CN"/>
        </w:rPr>
        <w:t xml:space="preserve">进行飞检，</w:t>
      </w:r>
      <w:r>
        <w:rPr>
          <w:rFonts w:hint="eastAsia" w:ascii="宋体" w:hAnsi="宋体" w:eastAsia="宋体" w:cs="宋体"/>
          <w:color w:val="000000"/>
          <w:sz w:val="24"/>
          <w:szCs w:val="24"/>
          <w:highlight w:val="none"/>
          <w:lang w:val="en-US" w:eastAsia="zh-CN"/>
        </w:rPr>
        <w:t xml:space="preserve">对质量不符合现行版《中华人民共和国药典》《中华人民共和国药典临床用药须知（中药饮片卷）》《江苏省中药饮片炮制规范》等要求的</w:t>
      </w:r>
      <w:r>
        <w:rPr>
          <w:rFonts w:hint="eastAsia" w:ascii="宋体" w:hAnsi="宋体" w:eastAsia="宋体" w:cs="Times New Roman"/>
          <w:color w:val="000000"/>
          <w:sz w:val="24"/>
          <w:szCs w:val="24"/>
          <w:highlight w:val="none"/>
          <w:lang w:val="en-US" w:eastAsia="zh-CN"/>
        </w:rPr>
        <w:t xml:space="preserve">，可以进行退货处理</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不合格次数一年累计满3次，院方可随时终止合同。</w:t>
      </w:r>
      <w:r>
        <w:rPr>
          <w:rFonts w:hint="eastAsia" w:ascii="宋体" w:hAnsi="宋体" w:eastAsia="宋体" w:cs="Times New Roman"/>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8.中药代煎及配送服务要求</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②为了保证代煎中药质量，中标人对每个操作步骤都作出详细规定，并做好记录可供追溯，全程均有监控录像，做到每个操作步骤都有记录存档，有质量跟踪。</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③现场环境整洁，不存在废水、废气、废渣等污染问题。</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④煎药质量保证</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煎药时长、温度、文武火、先煎后下等煎煮条件由计算机设置，避免人为操作失误，实现煎药过程标准化。</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⑤熬膏辅料齐全，至少包括冰糖、饴糖、木糖醇、蜂蜜、元贞糖，以及核桃肉、黑芝麻。</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⑥配送服务：中标人的中药饮片提供免费配送至采购人，有专门配送车队。</w:t>
      </w:r>
      <w:r>
        <w:rPr>
          <w:rFonts w:hint="eastAsia" w:ascii="宋体" w:hAnsi="宋体" w:cs="宋体"/>
          <w:b w:val="0"/>
          <w:bCs w:val="0"/>
          <w:color w:val="000000"/>
          <w:sz w:val="24"/>
          <w:szCs w:val="24"/>
          <w:highlight w:val="none"/>
          <w:lang w:val="en-US" w:eastAsia="zh-CN"/>
        </w:rPr>
        <w:t xml:space="preserve">提供配送至</w:t>
      </w:r>
      <w:r>
        <w:rPr>
          <w:rFonts w:hint="eastAsia" w:ascii="宋体" w:hAnsi="宋体" w:eastAsia="宋体" w:cs="宋体"/>
          <w:b w:val="0"/>
          <w:bCs w:val="0"/>
          <w:color w:val="000000"/>
          <w:sz w:val="24"/>
          <w:szCs w:val="24"/>
          <w:highlight w:val="none"/>
          <w:lang w:val="en-US" w:eastAsia="zh-CN"/>
        </w:rPr>
        <w:t xml:space="preserve">患者家中</w:t>
      </w:r>
      <w:r>
        <w:rPr>
          <w:rFonts w:hint="eastAsia" w:ascii="宋体" w:hAnsi="宋体" w:cs="宋体"/>
          <w:b w:val="0"/>
          <w:bCs w:val="0"/>
          <w:color w:val="000000"/>
          <w:sz w:val="24"/>
          <w:szCs w:val="24"/>
          <w:highlight w:val="none"/>
          <w:lang w:val="en-US" w:eastAsia="zh-CN"/>
        </w:rPr>
        <w:t xml:space="preserve">服务，配送费由患者支付。因配送导致包装破损或其他纠纷问题由中标供应商负责与快递公司协商解决。</w:t>
      </w:r>
      <w:r>
        <w:rPr>
          <w:rFonts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9.中标供应商供应的中药饮片保证符合国家相关质量标准，如因产品质量</w:t>
      </w:r>
      <w:r>
        <w:rPr>
          <w:rFonts w:hint="eastAsia" w:ascii="宋体" w:hAnsi="宋体" w:cs="宋体"/>
          <w:b w:val="0"/>
          <w:bCs w:val="0"/>
          <w:color w:val="000000"/>
          <w:sz w:val="24"/>
          <w:szCs w:val="24"/>
          <w:highlight w:val="none"/>
          <w:lang w:val="en-US" w:eastAsia="zh-CN"/>
        </w:rPr>
        <w:t xml:space="preserve">或其他</w:t>
      </w:r>
      <w:r>
        <w:rPr>
          <w:rFonts w:hint="eastAsia" w:ascii="宋体" w:hAnsi="宋体" w:eastAsia="宋体" w:cs="宋体"/>
          <w:b w:val="0"/>
          <w:bCs w:val="0"/>
          <w:color w:val="000000"/>
          <w:sz w:val="24"/>
          <w:szCs w:val="24"/>
          <w:highlight w:val="none"/>
          <w:lang w:val="en-US" w:eastAsia="zh-CN"/>
        </w:rPr>
        <w:t xml:space="preserve">问题导致不良后果，中标人</w:t>
      </w:r>
      <w:r>
        <w:rPr>
          <w:rFonts w:hint="eastAsia" w:ascii="宋体" w:hAnsi="宋体" w:cs="宋体"/>
          <w:b w:val="0"/>
          <w:bCs w:val="0"/>
          <w:color w:val="000000"/>
          <w:sz w:val="24"/>
          <w:szCs w:val="24"/>
          <w:highlight w:val="none"/>
          <w:lang w:val="en-US" w:eastAsia="zh-CN"/>
        </w:rPr>
        <w:t xml:space="preserve">负有</w:t>
      </w:r>
      <w:r>
        <w:rPr>
          <w:rFonts w:hint="eastAsia" w:ascii="宋体" w:hAnsi="宋体" w:eastAsia="宋体" w:cs="宋体"/>
          <w:b w:val="0"/>
          <w:bCs w:val="0"/>
          <w:color w:val="000000"/>
          <w:sz w:val="24"/>
          <w:szCs w:val="24"/>
          <w:highlight w:val="none"/>
          <w:lang w:val="en-US" w:eastAsia="zh-CN"/>
        </w:rPr>
        <w:t xml:space="preserve">相应的经济及法律责任。且院方可随时终止合同。</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10.中药饮片出现混装、与提供信息不相符者，取消该供应公司的所有中药饮片配送资格。</w:t>
      </w:r>
      <w:r>
        <w:rPr>
          <w:rFonts w:hint="eastAsia" w:ascii="宋体" w:hAnsi="宋体" w:eastAsia="宋体" w:cs="宋体"/>
          <w:b w:val="0"/>
          <w:bCs w:val="0"/>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11.服务响应：一般问题如未能按时送达、顾客服务性投诉的，响应时间不超过半小时，重大问题如货物遗失的，解决问题时间不超过 24 小时。</w:t>
      </w:r>
      <w:r>
        <w:rPr>
          <w:rFonts w:hint="eastAsia" w:ascii="宋体" w:hAnsi="宋体" w:eastAsia="宋体" w:cs="宋体"/>
          <w:b w:val="0"/>
          <w:bCs w:val="0"/>
          <w:color w:val="000000"/>
          <w:sz w:val="24"/>
          <w:szCs w:val="24"/>
          <w:highlight w:val="none"/>
          <w:lang w:val="en-US" w:eastAsia="zh-CN"/>
        </w:rPr>
      </w:r>
      <w:r/>
    </w:p>
    <w:p>
      <w:pPr>
        <w:pStyle w:val="730"/>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附：中药饮片代煎服务要求</w:t>
      </w:r>
      <w:r>
        <w:rPr>
          <w:rFonts w:hint="eastAsia" w:ascii="宋体" w:hAnsi="宋体" w:eastAsia="宋体" w:cs="Times New Roman"/>
          <w:color w:val="000000"/>
          <w:sz w:val="24"/>
          <w:szCs w:val="24"/>
          <w:highlight w:val="none"/>
          <w:lang w:val="en-US" w:eastAsia="zh-CN"/>
        </w:rPr>
      </w:r>
      <w:r/>
    </w:p>
    <w:tbl>
      <w:tblPr>
        <w:tblW w:w="89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263"/>
      </w:tblGrid>
      <w:tr>
        <w:trPr/>
        <w:tc>
          <w:tcPr>
            <w:tcW w:w="1671" w:type="dxa"/>
            <w:vAlign w:val="center"/>
            <w:vMerge w:val="restart"/>
            <w:textDirection w:val="lrTb"/>
            <w:noWrap w:val="false"/>
          </w:tcPr>
          <w:p>
            <w:pPr>
              <w:pStyle w:val="730"/>
              <w:jc w:val="center"/>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场地设施和加工用具</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2.设置中药煎药专用饮片仓库，仓储管理符合GSP的相关要求。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3.加强煎药设备的维护养护和分类管理，设备有明显状态标识。</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4.煎药场所应定期消毒</w:t>
            </w:r>
            <w:r>
              <w:rPr>
                <w:rFonts w:hint="eastAsia" w:ascii="宋体" w:hAnsi="宋体" w:eastAsia="宋体" w:cs="宋体"/>
                <w:b w:val="0"/>
                <w:bCs w:val="0"/>
                <w:color w:val="000000"/>
                <w:sz w:val="24"/>
                <w:szCs w:val="24"/>
                <w:highlight w:val="none"/>
                <w:lang w:val="en-US" w:eastAsia="zh-CN"/>
              </w:rPr>
            </w:r>
            <w:r/>
          </w:p>
        </w:tc>
      </w:tr>
      <w:tr>
        <w:trPr>
          <w:trHeight w:val="488"/>
        </w:trPr>
        <w:tc>
          <w:tcPr>
            <w:tcW w:w="1671" w:type="dxa"/>
            <w:vAlign w:val="center"/>
            <w:vMerge w:val="restart"/>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岗位人员要求</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1.煎药部门负责人应具有</w:t>
            </w: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2.从事中药调配、复核与煎药岗位操作人员参照《食品从业人员健康标准》，上岗前及每年进行健康体检，并建立健康档案。</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restart"/>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代煎调配</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1.生产企业应使用自产饮片，</w:t>
            </w:r>
            <w:r>
              <w:rPr>
                <w:rFonts w:hint="eastAsia" w:ascii="宋体" w:hAnsi="宋体" w:cs="宋体"/>
                <w:b w:val="0"/>
                <w:bCs w:val="0"/>
                <w:color w:val="000000"/>
                <w:sz w:val="24"/>
                <w:szCs w:val="24"/>
                <w:highlight w:val="none"/>
                <w:lang w:val="en-US" w:eastAsia="zh-CN"/>
              </w:rPr>
              <w:t xml:space="preserve">做好</w:t>
            </w:r>
            <w:r>
              <w:rPr>
                <w:rFonts w:hint="eastAsia" w:ascii="宋体" w:hAnsi="宋体" w:eastAsia="宋体" w:cs="宋体"/>
                <w:b w:val="0"/>
                <w:bCs w:val="0"/>
                <w:color w:val="000000"/>
                <w:sz w:val="24"/>
                <w:szCs w:val="24"/>
                <w:highlight w:val="none"/>
                <w:lang w:val="en-US" w:eastAsia="zh-CN"/>
              </w:rPr>
              <w:t xml:space="preserve">煎药专用饮片仓库进出库记录台账和批号追踪管理。应从具有合法企业资质的企业采购符合“中国药典”及“江苏省中药饮片炮制规范”质量标准的饮片进行调配。</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rPr>
                <w:rFonts w:hint="eastAsia" w:ascii="宋体" w:hAnsi="宋体" w:eastAsia="宋体" w:cs="宋体"/>
                <w:b w:val="0"/>
                <w:bCs w:val="0"/>
                <w:color w:val="000000"/>
                <w:sz w:val="24"/>
                <w:szCs w:val="24"/>
                <w:highlight w:val="none"/>
                <w:lang w:val="en-US" w:eastAsia="zh-CN"/>
              </w:rPr>
            </w:r>
            <w:r/>
          </w:p>
        </w:tc>
      </w:tr>
      <w:tr>
        <w:trPr/>
        <w:tc>
          <w:tcPr>
            <w:tcW w:w="1671" w:type="dxa"/>
            <w:vAlign w:val="center"/>
            <w:vMerge w:val="restart"/>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技术标准</w:t>
            </w: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1.中药饮片质量标准：符合现行版《中华人民共和国药典》及《江苏省中药饮片炮制规范》。</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2.煎药机煎液包装膜材质：PET/PE耐高温无毒，符合药品包装材料药用复合膜通则规定要求。</w:t>
            </w:r>
            <w:r>
              <w:rPr>
                <w:rFonts w:hint="eastAsia" w:ascii="宋体" w:hAnsi="宋体" w:eastAsia="宋体" w:cs="宋体"/>
                <w:b w:val="0"/>
                <w:bCs w:val="0"/>
                <w:color w:val="000000"/>
                <w:sz w:val="24"/>
                <w:szCs w:val="24"/>
                <w:highlight w:val="none"/>
                <w:lang w:val="en-US" w:eastAsia="zh-CN"/>
              </w:rPr>
            </w:r>
            <w:r/>
          </w:p>
        </w:tc>
      </w:tr>
      <w:tr>
        <w:trPr/>
        <w:tc>
          <w:tcPr>
            <w:tcW w:w="1671" w:type="dxa"/>
            <w:vAlign w:val="top"/>
            <w:vMerge w:val="continue"/>
            <w:textDirection w:val="lrTb"/>
            <w:noWrap w:val="false"/>
          </w:tcPr>
          <w:p>
            <w:pPr>
              <w:pStyle w:val="730"/>
              <w:ind w:firstLine="24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7263" w:type="dxa"/>
            <w:vAlign w:val="top"/>
            <w:textDirection w:val="lrTb"/>
            <w:noWrap w:val="false"/>
          </w:tcPr>
          <w:p>
            <w:pPr>
              <w:pStyle w:val="73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3.汤剂质量标准：①药料煎透度：汁浓味厚，色泽均匀，无可见异物；②药液装量：分装均匀，装量差异控制在±5%以内；③药液包装袋封口平整完好，无渗漏，无药汁污染。</w:t>
            </w:r>
            <w:r>
              <w:rPr>
                <w:rFonts w:hint="eastAsia" w:ascii="宋体" w:hAnsi="宋体" w:eastAsia="宋体" w:cs="宋体"/>
                <w:b w:val="0"/>
                <w:bCs w:val="0"/>
                <w:color w:val="000000"/>
                <w:sz w:val="24"/>
                <w:szCs w:val="24"/>
                <w:highlight w:val="none"/>
                <w:lang w:val="en-US" w:eastAsia="zh-CN"/>
              </w:rPr>
            </w:r>
            <w:r/>
          </w:p>
        </w:tc>
      </w:tr>
    </w:tbl>
    <w:p>
      <w:pPr>
        <w:pStyle w:val="730"/>
        <w:ind w:firstLine="482"/>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中药饮片清单及单价最高限价</w:t>
      </w:r>
      <w:r>
        <w:rPr>
          <w:rFonts w:hint="eastAsia" w:ascii="宋体" w:hAnsi="宋体" w:eastAsia="宋体" w:cs="宋体"/>
          <w:b w:val="0"/>
          <w:bCs w:val="0"/>
          <w:color w:val="000000"/>
          <w:sz w:val="24"/>
          <w:szCs w:val="24"/>
          <w:highlight w:val="none"/>
          <w:lang w:val="en-US" w:eastAsia="zh-CN"/>
        </w:rPr>
      </w:r>
      <w:r/>
    </w:p>
    <w:tbl>
      <w:tblPr>
        <w:tblW w:w="650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896"/>
        <w:gridCol w:w="1800"/>
        <w:gridCol w:w="1838"/>
      </w:tblGrid>
      <w:tr>
        <w:trPr>
          <w:trHeight w:val="321"/>
        </w:trPr>
        <w:tc>
          <w:tcPr>
            <w:tcBorders>
              <w:top w:val="single" w:color="000000" w:sz="8" w:space="0"/>
              <w:left w:val="single" w:color="000000" w:sz="8" w:space="0"/>
              <w:bottom w:val="single" w:color="000000" w:sz="8" w:space="0"/>
              <w:right w:val="single" w:color="000000" w:sz="8" w:space="0"/>
            </w:tcBorders>
            <w:tcW w:w="972" w:type="dxa"/>
            <w:vAlign w:val="bottom"/>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药品名称</w:t>
            </w:r>
            <w:r>
              <w:rPr>
                <w:rFonts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药品规格</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ascii="宋体" w:hAnsi="宋体" w:eastAsia="宋体" w:cs="宋体"/>
                <w:i w:val="0"/>
                <w:iCs w:val="0"/>
                <w:color w:val="000000"/>
                <w:sz w:val="24"/>
                <w:szCs w:val="24"/>
                <w:highlight w:val="none"/>
                <w:u w:val="none"/>
                <w:lang w:val="en-US" w:eastAsia="zh-CN" w:bidi="ar"/>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阿胶珠</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3g/袋</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八月札（预知子）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巴戟天</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菝葜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白扁豆</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白花蛇舌草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白芥子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白茅根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白鲜皮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白芷</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柏子仁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败酱草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板蓝根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半边莲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半枝莲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北柴胡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北沙参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萆薢</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萹蓄草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瘪桃干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冰球子（山慈菇）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1133.96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补骨脂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苍耳子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藏青果（西青果）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柴胡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蝉蜕</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999.44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蟾衣</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炒白术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炒苍术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炒陈皮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炒刺猬皮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1282.5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炒淡豆豉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炒当归</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炒党参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炒杜仲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33.89</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炒谷芽</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炒蒺藜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炒僵蚕</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炒决明子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炒麦芽</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炒桑枝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炒苡仁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炒枳壳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炒枳实</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茺蔚子（益母子）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6571.8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川楝子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川牛膝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垂盆草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春柴胡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醋鳖甲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醋龟甲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大腹皮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大茴香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大力子(牛蒡子)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大青叶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大枣</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代赭石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128.99</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胆南星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淡竹叶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党参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灯心草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地鳖虫</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地骨皮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地龙干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rPr>
            </w:r>
            <w:r/>
          </w:p>
        </w:tc>
      </w:tr>
      <w:tr>
        <w:trPr>
          <w:trHeight w:val="276"/>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冬葵子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独一味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煅磁石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煅牡蛎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莪术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法半夏</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番泻叶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蜂房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麸炒苍术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浮小麦</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覆盆子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甘松</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高良姜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钩藤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枸橘李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谷精草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骨碎补</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广藿香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广木香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4027.44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鬼箭羽</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鬼球（木馒头）</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海螵蛸（乌贼骨）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杭菊花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诃子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黑附片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红景天</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3g/袋</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1411.11</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胡黄连</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葫芦壳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槲寄生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虎杖</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化橘红</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怀牛膝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黄精</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黄连</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黄芪</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黄药子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火麻仁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鸡内金（炒）</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鸡血藤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积雪草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急性子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僵蚕</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焦六神曲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焦山楂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焦栀子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绞股蓝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金荞麦</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九节菖</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九香虫</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酒萸肉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桔梗</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73.89</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橘核</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决明子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开心果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苦杏仁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款冬花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连翘</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刘寄奴</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龙胆草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龙葵</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龙眼肉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鹿衔草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路路通</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罗布麻叶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罗汉果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络石藤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绿梅花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马鞭草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马齿苋</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麦冬</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蔓荆子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芒硝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猫爪草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蜜远志</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蜜紫菀</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茉莉花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墨旱莲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木蝴蝶（千张纸）</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木通</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南沙参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糯稻根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女贞子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胖大海</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佩兰</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枇杷叶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平地木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蒲公英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荠菜花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蕲蛇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千年健</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芡实</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羌活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秦艽</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青葙子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瞿麦</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全瓜蒌</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4010.88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拳参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忍冬藤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肉苁蓉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桑寄生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桑螵蛸</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桑椹子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沙苑子（潼蒺藜）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山慈菇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905.52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山豆根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山柰</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29.99</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山萸肉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蛇床子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蛇莓</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伸筋草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生白术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生大黄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生地</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生龙骨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生牡蛎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生山楂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生石膏</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生苡仁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石菖蒲</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石斛</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石见穿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石决明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石榴皮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石韦</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柿蒂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首乌藤（夜交藤）</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蜀羊泉（白英）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水红花子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水牛角片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水蛭</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丝瓜络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苏梗</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苏叶</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酸枣仁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锁阳</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太子参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58.3</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藤梨根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天冬</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天花粉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天葵子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田基黄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葶苈子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透骨草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土茯苓</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土牛膝</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菟丝子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瓦楞子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王不留行</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威灵仙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128.64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煨葛根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乌梢蛇</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乌药</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吴茱萸</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五倍子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五加皮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五灵脂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五味子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豨莶草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喜树果</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细辛</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夏枯草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仙鹤草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仙灵脾（淫羊藿）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仙茅</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香薷</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香橼皮</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小茴香</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薤白头</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辛夷花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67.32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徐长卿</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续断</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玄明粉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旋覆花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寻骨风</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鸭跖草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野菊花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益母草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益智仁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271.04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茵陈</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银柴胡</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鱼腥草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玉竹（生）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郁金</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郁李仁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月季花</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119.94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皂角刺</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泽兰</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泽泻</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浙贝母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知母</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栀子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制半夏</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制草乌</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制川乌</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制大黄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制狗脊</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制南星</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93.76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制首乌</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制香附</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炙百部</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炙甘草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炙红芪</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150.08</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炙黄芪</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重楼</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珠子参</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8160.96</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猪苓</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554.52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竹茹</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紫草</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紫花地丁</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r>
      <w:tr>
        <w:trPr>
          <w:trHeight w:val="321"/>
        </w:trPr>
        <w:tc>
          <w:tcPr>
            <w:tcBorders>
              <w:top w:val="single" w:color="000000" w:sz="8" w:space="0"/>
              <w:left w:val="single" w:color="000000" w:sz="8" w:space="0"/>
              <w:bottom w:val="single" w:color="000000" w:sz="8" w:space="0"/>
              <w:right w:val="single" w:color="000000" w:sz="8" w:space="0"/>
            </w:tcBorders>
            <w:tcW w:w="972"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96"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紫苏子</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00"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tcBorders>
              <w:top w:val="single" w:color="000000" w:sz="8" w:space="0"/>
              <w:left w:val="single" w:color="000000" w:sz="8" w:space="0"/>
              <w:bottom w:val="single" w:color="000000" w:sz="8" w:space="0"/>
              <w:right w:val="single" w:color="000000" w:sz="8" w:space="0"/>
            </w:tcBorders>
            <w:tcW w:w="1838" w:type="dxa"/>
            <w:vAlign w:val="center"/>
            <w:textDirection w:val="lrTb"/>
            <w:noWrap/>
          </w:tcPr>
          <w:p>
            <w:pPr>
              <w:pStyle w:val="73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bl>
    <w:p>
      <w:pPr>
        <w:pStyle w:val="730"/>
        <w:numPr>
          <w:ilvl w:val="0"/>
          <w:numId w:val="0"/>
        </w:numPr>
        <w:ind w:firstLine="480"/>
        <w:spacing w:line="360" w:lineRule="auto"/>
        <w:rPr>
          <w:rFonts w:hint="eastAsia" w:eastAsia="宋体"/>
          <w:color w:val="000000"/>
          <w:sz w:val="24"/>
          <w:highlight w:val="none"/>
          <w:lang w:val="en-US" w:eastAsia="zh-CN"/>
        </w:rPr>
      </w:pPr>
      <w:r>
        <w:rPr>
          <w:rFonts w:hint="eastAsia"/>
          <w:b/>
          <w:bCs/>
          <w:strike w:val="0"/>
          <w:color w:val="000000"/>
          <w:sz w:val="24"/>
          <w:highlight w:val="none"/>
          <w:lang w:val="en-US" w:eastAsia="zh-CN"/>
        </w:rPr>
        <w:t xml:space="preserve">注：若受政策性因素影响，中标后以</w:t>
      </w:r>
      <w:r>
        <w:rPr>
          <w:rFonts w:hint="eastAsia" w:ascii="Times New Roman" w:hAnsi="Times New Roman" w:eastAsia="宋体" w:cs="Times New Roman"/>
          <w:b/>
          <w:bCs/>
          <w:strike w:val="0"/>
          <w:color w:val="000000"/>
          <w:sz w:val="24"/>
          <w:highlight w:val="none"/>
          <w:lang w:val="en-US" w:eastAsia="zh-CN"/>
        </w:rPr>
        <w:t xml:space="preserve">上药品种类需纳入集中采购目录的，采购人有权与中标人终止该药品种类的采购，并不构成违约。</w:t>
      </w:r>
      <w:r>
        <w:rPr>
          <w:rFonts w:hint="eastAsia"/>
          <w:color w:val="000000"/>
          <w:sz w:val="24"/>
          <w:highlight w:val="none"/>
        </w:rPr>
        <w:t xml:space="preserve">如采购人有需要其他不在此次招标清单内的中药饮片</w:t>
      </w:r>
      <w:r>
        <w:rPr>
          <w:rFonts w:hint="eastAsia"/>
          <w:color w:val="000000"/>
          <w:sz w:val="24"/>
          <w:highlight w:val="none"/>
          <w:lang w:eastAsia="zh-CN"/>
        </w:rPr>
        <w:t xml:space="preserve">，</w:t>
      </w:r>
      <w:r>
        <w:rPr>
          <w:rFonts w:hint="eastAsia"/>
          <w:color w:val="000000"/>
          <w:sz w:val="24"/>
          <w:highlight w:val="none"/>
        </w:rPr>
        <w:t xml:space="preserve">则参考本地同等级</w:t>
      </w:r>
      <w:r>
        <w:rPr>
          <w:rFonts w:hint="eastAsia" w:eastAsia="宋体"/>
          <w:color w:val="000000"/>
          <w:sz w:val="24"/>
          <w:highlight w:val="none"/>
          <w:lang w:val="en-US" w:eastAsia="zh-CN"/>
        </w:rPr>
        <w:t xml:space="preserve">社区卫生服务中心</w:t>
      </w:r>
      <w:r>
        <w:rPr>
          <w:rFonts w:hint="eastAsia"/>
          <w:color w:val="000000"/>
          <w:sz w:val="24"/>
          <w:highlight w:val="none"/>
        </w:rPr>
        <w:t xml:space="preserve">供货价*</w:t>
      </w:r>
      <w:r>
        <w:rPr>
          <w:rFonts w:hint="eastAsia"/>
          <w:color w:val="000000"/>
          <w:sz w:val="24"/>
          <w:highlight w:val="none"/>
          <w:lang w:eastAsia="zh-CN"/>
        </w:rPr>
        <w:t xml:space="preserve">（1－中标优惠率）</w:t>
      </w:r>
      <w:r>
        <w:rPr>
          <w:rFonts w:hint="eastAsia"/>
          <w:color w:val="000000"/>
          <w:sz w:val="24"/>
          <w:highlight w:val="none"/>
        </w:rPr>
        <w:t xml:space="preserve">进行结算</w:t>
      </w:r>
      <w:r>
        <w:rPr>
          <w:rFonts w:hint="eastAsia"/>
          <w:color w:val="000000"/>
          <w:sz w:val="24"/>
          <w:highlight w:val="none"/>
          <w:lang w:eastAsia="zh-CN"/>
        </w:rPr>
        <w:t xml:space="preserve">，</w:t>
      </w:r>
      <w:r>
        <w:rPr>
          <w:rFonts w:hint="eastAsia"/>
          <w:color w:val="000000"/>
          <w:sz w:val="24"/>
          <w:highlight w:val="none"/>
        </w:rPr>
        <w:t xml:space="preserve">中标人需提供同等级</w:t>
      </w:r>
      <w:r>
        <w:rPr>
          <w:rFonts w:hint="eastAsia" w:eastAsia="宋体"/>
          <w:color w:val="000000"/>
          <w:sz w:val="24"/>
          <w:highlight w:val="none"/>
          <w:lang w:val="en-US" w:eastAsia="zh-CN"/>
        </w:rPr>
        <w:t xml:space="preserve">社区卫生服务中心</w:t>
      </w:r>
      <w:r>
        <w:rPr>
          <w:rFonts w:hint="eastAsia"/>
          <w:color w:val="000000"/>
          <w:sz w:val="24"/>
          <w:highlight w:val="none"/>
        </w:rPr>
        <w:t xml:space="preserve">供货清单</w:t>
      </w:r>
      <w:r>
        <w:rPr>
          <w:rFonts w:hint="eastAsia"/>
          <w:color w:val="000000"/>
          <w:sz w:val="24"/>
          <w:highlight w:val="none"/>
          <w:lang w:eastAsia="zh-CN"/>
        </w:rPr>
        <w:t xml:space="preserve">，</w:t>
      </w:r>
      <w:r>
        <w:rPr>
          <w:rFonts w:hint="eastAsia"/>
          <w:color w:val="000000"/>
          <w:sz w:val="24"/>
          <w:highlight w:val="none"/>
        </w:rPr>
        <w:t xml:space="preserve">双方确认后进行结算</w:t>
      </w:r>
      <w:r>
        <w:rPr>
          <w:rFonts w:hint="eastAsia"/>
          <w:color w:val="000000"/>
          <w:sz w:val="24"/>
          <w:highlight w:val="none"/>
          <w:lang w:eastAsia="zh-CN"/>
        </w:rPr>
        <w:t xml:space="preserve">。</w:t>
      </w:r>
      <w:r>
        <w:rPr>
          <w:rFonts w:hint="eastAsia" w:eastAsia="宋体"/>
          <w:color w:val="000000"/>
          <w:sz w:val="24"/>
          <w:highlight w:val="none"/>
          <w:lang w:val="en-US" w:eastAsia="zh-CN"/>
        </w:rPr>
      </w:r>
      <w:r/>
    </w:p>
    <w:p>
      <w:pPr>
        <w:pStyle w:val="1186"/>
        <w:numPr>
          <w:ilvl w:val="0"/>
          <w:numId w:val="0"/>
        </w:numPr>
        <w:spacing w:line="360" w:lineRule="auto"/>
        <w:rPr>
          <w:rFonts w:hint="eastAsia"/>
          <w:color w:val="000000"/>
          <w:highlight w:val="none"/>
          <w:lang w:val="en-US" w:eastAsia="zh-CN"/>
        </w:rPr>
      </w:pPr>
      <w:r>
        <w:rPr>
          <w:rFonts w:hint="eastAsia"/>
          <w:color w:val="000000"/>
          <w:highlight w:val="none"/>
          <w:lang w:val="en-US" w:eastAsia="zh-CN"/>
        </w:rPr>
        <w:t xml:space="preserve">四、代加工服务需求清单：</w:t>
      </w:r>
      <w:r>
        <w:rPr>
          <w:rFonts w:hint="eastAsia"/>
          <w:color w:val="000000"/>
          <w:highlight w:val="none"/>
          <w:lang w:val="en-US" w:eastAsia="zh-CN"/>
        </w:rPr>
      </w:r>
      <w:r/>
    </w:p>
    <w:tbl>
      <w:tblPr>
        <w:tblW w:w="49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2171"/>
        <w:gridCol w:w="808"/>
        <w:gridCol w:w="1724"/>
        <w:gridCol w:w="3073"/>
      </w:tblGrid>
      <w:tr>
        <w:trPr>
          <w:trHeight w:val="23"/>
        </w:trPr>
        <w:tc>
          <w:tcPr>
            <w:tcW w:w="760" w:type="dxa"/>
            <w:vAlign w:val="center"/>
            <w:textDirection w:val="lrTb"/>
            <w:noWrap w:val="false"/>
          </w:tcPr>
          <w:p>
            <w:pPr>
              <w:pStyle w:val="730"/>
              <w:jc w:val="center"/>
              <w:spacing w:line="360" w:lineRule="auto"/>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序号</w:t>
            </w:r>
            <w:r>
              <w:rPr>
                <w:rFonts w:ascii="宋体" w:hAnsi="宋体"/>
                <w:b/>
                <w:bCs/>
                <w:color w:val="000000"/>
                <w:sz w:val="21"/>
                <w:szCs w:val="21"/>
                <w:highlight w:val="none"/>
                <w:lang w:val="zh-CN"/>
              </w:rPr>
            </w:r>
            <w:r/>
          </w:p>
        </w:tc>
        <w:tc>
          <w:tcPr>
            <w:tcW w:w="1183" w:type="dxa"/>
            <w:vAlign w:val="center"/>
            <w:textDirection w:val="lrTb"/>
            <w:noWrap w:val="false"/>
          </w:tcPr>
          <w:p>
            <w:pPr>
              <w:pStyle w:val="730"/>
              <w:jc w:val="center"/>
              <w:spacing w:line="360" w:lineRule="auto"/>
              <w:rPr>
                <w:rFonts w:ascii="宋体" w:hAnsi="宋体"/>
                <w:b/>
                <w:bCs/>
                <w:color w:val="000000"/>
                <w:sz w:val="21"/>
                <w:szCs w:val="21"/>
                <w:highlight w:val="none"/>
                <w:lang w:val="zh-CN"/>
              </w:rPr>
            </w:pPr>
            <w:r>
              <w:rPr>
                <w:rFonts w:hint="eastAsia" w:ascii="宋体" w:hAnsi="宋体"/>
                <w:b/>
                <w:bCs/>
                <w:color w:val="000000"/>
                <w:sz w:val="21"/>
                <w:szCs w:val="21"/>
                <w:highlight w:val="none"/>
              </w:rPr>
              <w:t xml:space="preserve">项目</w:t>
            </w:r>
            <w:r>
              <w:rPr>
                <w:rFonts w:ascii="宋体" w:hAnsi="宋体"/>
                <w:b/>
                <w:bCs/>
                <w:color w:val="000000"/>
                <w:sz w:val="21"/>
                <w:szCs w:val="21"/>
                <w:highlight w:val="none"/>
                <w:lang w:val="zh-CN"/>
              </w:rPr>
              <w:t xml:space="preserve">名称</w:t>
            </w:r>
            <w:r>
              <w:rPr>
                <w:rFonts w:ascii="宋体" w:hAnsi="宋体"/>
                <w:b/>
                <w:bCs/>
                <w:color w:val="000000"/>
                <w:sz w:val="21"/>
                <w:szCs w:val="21"/>
                <w:highlight w:val="none"/>
                <w:lang w:val="zh-CN"/>
              </w:rPr>
            </w:r>
            <w:r/>
          </w:p>
        </w:tc>
        <w:tc>
          <w:tcPr>
            <w:tcW w:w="440" w:type="dxa"/>
            <w:vAlign w:val="center"/>
            <w:textDirection w:val="lrTb"/>
            <w:noWrap w:val="false"/>
          </w:tcPr>
          <w:p>
            <w:pPr>
              <w:pStyle w:val="730"/>
              <w:jc w:val="center"/>
              <w:spacing w:line="360" w:lineRule="auto"/>
              <w:rPr>
                <w:rFonts w:hint="eastAsia" w:ascii="宋体" w:hAnsi="宋体"/>
                <w:b/>
                <w:bCs/>
                <w:color w:val="000000"/>
                <w:sz w:val="21"/>
                <w:szCs w:val="21"/>
                <w:highlight w:val="none"/>
              </w:rPr>
            </w:pPr>
            <w:r>
              <w:rPr>
                <w:rFonts w:hint="eastAsia" w:ascii="宋体" w:hAnsi="宋体" w:cs="宋体"/>
                <w:b/>
                <w:bCs/>
                <w:color w:val="000000"/>
                <w:sz w:val="21"/>
                <w:szCs w:val="21"/>
                <w:highlight w:val="none"/>
              </w:rPr>
              <w:t xml:space="preserve">单位</w:t>
            </w:r>
            <w:r>
              <w:rPr>
                <w:rFonts w:hint="eastAsia" w:ascii="宋体" w:hAnsi="宋体"/>
                <w:b/>
                <w:bCs/>
                <w:color w:val="000000"/>
                <w:sz w:val="21"/>
                <w:szCs w:val="21"/>
                <w:highlight w:val="none"/>
              </w:rPr>
            </w:r>
            <w:r/>
          </w:p>
        </w:tc>
        <w:tc>
          <w:tcPr>
            <w:tcW w:w="940" w:type="dxa"/>
            <w:vAlign w:val="center"/>
            <w:textDirection w:val="lrTb"/>
            <w:noWrap w:val="false"/>
          </w:tcPr>
          <w:p>
            <w:pPr>
              <w:pStyle w:val="730"/>
              <w:jc w:val="center"/>
              <w:spacing w:line="360" w:lineRule="auto"/>
              <w:rPr>
                <w:rFonts w:ascii="宋体" w:hAnsi="宋体"/>
                <w:b/>
                <w:bCs/>
                <w:color w:val="000000"/>
                <w:sz w:val="21"/>
                <w:szCs w:val="21"/>
                <w:highlight w:val="none"/>
              </w:rPr>
            </w:pPr>
            <w:r>
              <w:rPr>
                <w:rFonts w:hint="eastAsia" w:ascii="宋体" w:hAnsi="宋体" w:cs="宋体"/>
                <w:b/>
                <w:bCs/>
                <w:color w:val="000000"/>
                <w:sz w:val="21"/>
                <w:szCs w:val="21"/>
                <w:highlight w:val="none"/>
              </w:rPr>
              <w:t xml:space="preserve">最高限价（元）</w:t>
            </w:r>
            <w:r>
              <w:rPr>
                <w:rFonts w:ascii="宋体" w:hAnsi="宋体"/>
                <w:b/>
                <w:bCs/>
                <w:color w:val="000000"/>
                <w:sz w:val="21"/>
                <w:szCs w:val="21"/>
                <w:highlight w:val="none"/>
              </w:rPr>
            </w:r>
            <w:r/>
          </w:p>
        </w:tc>
        <w:tc>
          <w:tcPr>
            <w:tcW w:w="1675" w:type="dxa"/>
            <w:vAlign w:val="center"/>
            <w:textDirection w:val="lrTb"/>
            <w:noWrap w:val="false"/>
          </w:tcPr>
          <w:p>
            <w:pPr>
              <w:pStyle w:val="730"/>
              <w:jc w:val="center"/>
              <w:spacing w:line="360" w:lineRule="auto"/>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备注</w:t>
            </w:r>
            <w:r>
              <w:rPr>
                <w:rFonts w:ascii="宋体" w:hAnsi="宋体"/>
                <w:b/>
                <w:bCs/>
                <w:color w:val="000000"/>
                <w:sz w:val="21"/>
                <w:szCs w:val="21"/>
                <w:highlight w:val="none"/>
                <w:lang w:val="zh-CN"/>
              </w:rPr>
            </w:r>
            <w:r/>
          </w:p>
        </w:tc>
      </w:tr>
      <w:tr>
        <w:trPr>
          <w:trHeight w:val="518"/>
        </w:trPr>
        <w:tc>
          <w:tcPr>
            <w:tcW w:w="1395" w:type="dxa"/>
            <w:vAlign w:val="center"/>
            <w:textDirection w:val="lrTb"/>
            <w:noWrap w:val="false"/>
          </w:tcPr>
          <w:p>
            <w:pPr>
              <w:pStyle w:val="730"/>
              <w:jc w:val="center"/>
              <w:keepLines w:val="0"/>
              <w:keepNext w:val="0"/>
              <w:widowControl/>
              <w:rPr>
                <w:rFonts w:ascii="宋体" w:hAnsi="宋体"/>
                <w:color w:val="000000"/>
                <w:sz w:val="21"/>
                <w:szCs w:val="21"/>
                <w:highlight w:val="none"/>
                <w:lang w:val="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color w:val="000000"/>
                <w:sz w:val="21"/>
                <w:szCs w:val="21"/>
                <w:highlight w:val="none"/>
                <w:lang w:val="zh-CN"/>
              </w:rPr>
            </w:r>
            <w:r/>
          </w:p>
        </w:tc>
        <w:tc>
          <w:tcPr>
            <w:tcW w:w="2171" w:type="dxa"/>
            <w:vAlign w:val="center"/>
            <w:textDirection w:val="lrTb"/>
            <w:noWrap w:val="false"/>
          </w:tcPr>
          <w:p>
            <w:pPr>
              <w:pStyle w:val="730"/>
              <w:jc w:val="left"/>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中药临方加工（煎汤）</w:t>
            </w:r>
            <w:r>
              <w:rPr>
                <w:rFonts w:ascii="宋体" w:hAnsi="宋体"/>
                <w:color w:val="000000"/>
                <w:sz w:val="21"/>
                <w:szCs w:val="21"/>
                <w:highlight w:val="none"/>
              </w:rPr>
            </w:r>
            <w:r/>
          </w:p>
        </w:tc>
        <w:tc>
          <w:tcPr>
            <w:tcW w:w="808" w:type="dxa"/>
            <w:vAlign w:val="center"/>
            <w:textDirection w:val="lrTb"/>
            <w:noWrap w:val="false"/>
          </w:tcPr>
          <w:p>
            <w:pPr>
              <w:pStyle w:val="730"/>
              <w:jc w:val="center"/>
              <w:keepLines w:val="0"/>
              <w:keepNext w:val="0"/>
              <w:widowControl/>
              <w:rPr>
                <w:rFonts w:hint="eastAsia" w:ascii="宋体" w:hAnsi="宋体" w:eastAsia="宋体"/>
                <w:color w:val="000000"/>
                <w:sz w:val="21"/>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贴</w:t>
            </w:r>
            <w:r>
              <w:rPr>
                <w:rFonts w:hint="eastAsia" w:ascii="宋体" w:hAnsi="宋体" w:eastAsia="宋体"/>
                <w:color w:val="000000"/>
                <w:sz w:val="21"/>
                <w:szCs w:val="21"/>
                <w:highlight w:val="none"/>
                <w:lang w:eastAsia="zh-CN"/>
              </w:rPr>
            </w:r>
            <w:r/>
          </w:p>
        </w:tc>
        <w:tc>
          <w:tcPr>
            <w:tcW w:w="1724"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ascii="宋体" w:hAnsi="宋体"/>
                <w:color w:val="000000"/>
                <w:sz w:val="21"/>
                <w:szCs w:val="21"/>
                <w:highlight w:val="none"/>
              </w:rPr>
            </w:r>
            <w:r/>
          </w:p>
        </w:tc>
        <w:tc>
          <w:tcPr>
            <w:tcW w:w="3073" w:type="dxa"/>
            <w:vAlign w:val="center"/>
            <w:textDirection w:val="lrTb"/>
            <w:noWrap w:val="false"/>
          </w:tcPr>
          <w:p>
            <w:pPr>
              <w:pStyle w:val="730"/>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煎药机煎药</w:t>
            </w:r>
            <w:r>
              <w:rPr>
                <w:rFonts w:hint="eastAsia" w:ascii="宋体" w:hAnsi="宋体" w:cs="宋体"/>
                <w:color w:val="000000"/>
                <w:sz w:val="21"/>
                <w:szCs w:val="21"/>
                <w:highlight w:val="none"/>
              </w:rPr>
            </w:r>
            <w:r/>
          </w:p>
        </w:tc>
      </w:tr>
      <w:tr>
        <w:trPr>
          <w:trHeight w:val="851"/>
        </w:trPr>
        <w:tc>
          <w:tcPr>
            <w:tcW w:w="1395" w:type="dxa"/>
            <w:vAlign w:val="center"/>
            <w:textDirection w:val="lrTb"/>
            <w:noWrap w:val="false"/>
          </w:tcPr>
          <w:p>
            <w:pPr>
              <w:pStyle w:val="730"/>
              <w:jc w:val="center"/>
              <w:keepLines w:val="0"/>
              <w:keepNext w:val="0"/>
              <w:widowControl/>
              <w:rPr>
                <w:rFonts w:hint="eastAsia"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olor w:val="000000"/>
                <w:sz w:val="21"/>
                <w:szCs w:val="21"/>
                <w:highlight w:val="none"/>
              </w:rPr>
            </w:r>
            <w:r/>
          </w:p>
        </w:tc>
        <w:tc>
          <w:tcPr>
            <w:tcW w:w="2171" w:type="dxa"/>
            <w:vAlign w:val="center"/>
            <w:textDirection w:val="lrTb"/>
            <w:noWrap w:val="false"/>
          </w:tcPr>
          <w:p>
            <w:pPr>
              <w:pStyle w:val="730"/>
              <w:jc w:val="left"/>
              <w:keepLines w:val="0"/>
              <w:keepNext w:val="0"/>
              <w:widowControl/>
              <w:rPr>
                <w:rFonts w:hint="eastAsia" w:ascii="宋体" w:hAnsi="宋体"/>
                <w:color w:val="000000"/>
                <w:sz w:val="21"/>
                <w:szCs w:val="21"/>
                <w:highlight w:val="none"/>
                <w:lang w:val="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中药临方加工（熬膏）</w:t>
            </w:r>
            <w:r>
              <w:rPr>
                <w:rFonts w:hint="eastAsia" w:ascii="宋体" w:hAnsi="宋体"/>
                <w:color w:val="000000"/>
                <w:sz w:val="21"/>
                <w:szCs w:val="21"/>
                <w:highlight w:val="none"/>
                <w:lang w:val="zh-CN"/>
              </w:rPr>
            </w:r>
            <w:r/>
          </w:p>
        </w:tc>
        <w:tc>
          <w:tcPr>
            <w:tcW w:w="808"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料</w:t>
            </w:r>
            <w:r>
              <w:rPr>
                <w:rFonts w:ascii="宋体" w:hAnsi="宋体"/>
                <w:color w:val="000000"/>
                <w:sz w:val="21"/>
                <w:szCs w:val="21"/>
                <w:highlight w:val="none"/>
              </w:rPr>
            </w:r>
            <w:r/>
          </w:p>
        </w:tc>
        <w:tc>
          <w:tcPr>
            <w:tcW w:w="1724"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w:t>
            </w:r>
            <w:r>
              <w:rPr>
                <w:rFonts w:ascii="宋体" w:hAnsi="宋体"/>
                <w:color w:val="000000"/>
                <w:sz w:val="21"/>
                <w:szCs w:val="21"/>
                <w:highlight w:val="none"/>
              </w:rPr>
            </w:r>
            <w:r/>
          </w:p>
        </w:tc>
        <w:tc>
          <w:tcPr>
            <w:tcW w:w="3073" w:type="dxa"/>
            <w:vAlign w:val="center"/>
            <w:textDirection w:val="lrTb"/>
            <w:noWrap w:val="false"/>
          </w:tcPr>
          <w:p>
            <w:pPr>
              <w:pStyle w:val="730"/>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含黄酒、容器、冰糖</w:t>
            </w:r>
            <w:r>
              <w:rPr>
                <w:rFonts w:hint="eastAsia" w:ascii="宋体" w:hAnsi="宋体" w:cs="宋体"/>
                <w:color w:val="000000"/>
                <w:sz w:val="21"/>
                <w:szCs w:val="21"/>
                <w:highlight w:val="none"/>
              </w:rPr>
            </w:r>
            <w:r/>
          </w:p>
        </w:tc>
      </w:tr>
      <w:tr>
        <w:trPr>
          <w:trHeight w:val="23"/>
        </w:trPr>
        <w:tc>
          <w:tcPr>
            <w:tcW w:w="1395" w:type="dxa"/>
            <w:vAlign w:val="center"/>
            <w:textDirection w:val="lrTb"/>
            <w:noWrap w:val="false"/>
          </w:tcPr>
          <w:p>
            <w:pPr>
              <w:pStyle w:val="730"/>
              <w:jc w:val="center"/>
              <w:keepLines w:val="0"/>
              <w:keepNext w:val="0"/>
              <w:widowControl/>
              <w:rPr>
                <w:rFonts w:hint="eastAsia"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olor w:val="000000"/>
                <w:sz w:val="21"/>
                <w:szCs w:val="21"/>
                <w:highlight w:val="none"/>
              </w:rPr>
            </w:r>
            <w:r/>
          </w:p>
        </w:tc>
        <w:tc>
          <w:tcPr>
            <w:tcW w:w="2171" w:type="dxa"/>
            <w:vAlign w:val="center"/>
            <w:textDirection w:val="lrTb"/>
            <w:noWrap w:val="false"/>
          </w:tcPr>
          <w:p>
            <w:pPr>
              <w:pStyle w:val="730"/>
              <w:jc w:val="left"/>
              <w:keepLines w:val="0"/>
              <w:keepNext w:val="0"/>
              <w:widowControl/>
              <w:rPr>
                <w:rFonts w:hint="eastAsia" w:ascii="宋体" w:hAnsi="宋体" w:eastAsia="宋体" w:cs="宋体"/>
                <w:b w:val="0"/>
                <w:bCs w:val="0"/>
                <w:color w:val="000000"/>
                <w:sz w:val="24"/>
                <w:szCs w:val="24"/>
                <w:highlight w:val="none"/>
                <w:lang w:val="zh-CN"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中药临方加工（磨粉）</w:t>
            </w:r>
            <w:r>
              <w:rPr>
                <w:rFonts w:hint="eastAsia" w:ascii="宋体" w:hAnsi="宋体" w:eastAsia="宋体" w:cs="宋体"/>
                <w:b w:val="0"/>
                <w:bCs w:val="0"/>
                <w:color w:val="000000"/>
                <w:sz w:val="24"/>
                <w:szCs w:val="24"/>
                <w:highlight w:val="none"/>
                <w:lang w:val="zh-CN" w:eastAsia="zh-CN"/>
              </w:rPr>
            </w:r>
            <w:r/>
          </w:p>
        </w:tc>
        <w:tc>
          <w:tcPr>
            <w:tcW w:w="808"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500g</w:t>
            </w:r>
            <w:r>
              <w:rPr>
                <w:rFonts w:ascii="宋体" w:hAnsi="宋体"/>
                <w:color w:val="000000"/>
                <w:sz w:val="21"/>
                <w:szCs w:val="21"/>
                <w:highlight w:val="none"/>
              </w:rPr>
            </w:r>
            <w:r/>
          </w:p>
        </w:tc>
        <w:tc>
          <w:tcPr>
            <w:tcW w:w="1724"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color w:val="000000"/>
                <w:sz w:val="21"/>
                <w:szCs w:val="21"/>
                <w:highlight w:val="none"/>
              </w:rPr>
            </w:r>
            <w:r/>
          </w:p>
        </w:tc>
        <w:tc>
          <w:tcPr>
            <w:tcW w:w="3073" w:type="dxa"/>
            <w:vAlign w:val="center"/>
            <w:textDirection w:val="lrTb"/>
            <w:noWrap w:val="false"/>
          </w:tcPr>
          <w:p>
            <w:pPr>
              <w:pStyle w:val="730"/>
              <w:jc w:val="left"/>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以500g为收费起点，不足500g按500g收费；每超过100g加收1.50元，不足100g按100g收费。</w:t>
            </w:r>
            <w:r>
              <w:rPr>
                <w:rFonts w:hint="eastAsia" w:ascii="宋体" w:hAnsi="宋体" w:eastAsia="宋体" w:cs="宋体"/>
                <w:color w:val="000000"/>
                <w:sz w:val="21"/>
                <w:szCs w:val="21"/>
                <w:highlight w:val="none"/>
                <w:lang w:eastAsia="zh-CN"/>
              </w:rPr>
            </w:r>
            <w:r/>
          </w:p>
        </w:tc>
      </w:tr>
      <w:tr>
        <w:trPr>
          <w:trHeight w:val="23"/>
        </w:trPr>
        <w:tc>
          <w:tcPr>
            <w:tcW w:w="1395" w:type="dxa"/>
            <w:vAlign w:val="center"/>
            <w:textDirection w:val="lrTb"/>
            <w:noWrap w:val="false"/>
          </w:tcPr>
          <w:p>
            <w:pPr>
              <w:pStyle w:val="730"/>
              <w:jc w:val="center"/>
              <w:keepLines w:val="0"/>
              <w:keepNext w:val="0"/>
              <w:widowControl/>
              <w:rPr>
                <w:rFonts w:hint="eastAsia"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olor w:val="000000"/>
                <w:sz w:val="21"/>
                <w:szCs w:val="21"/>
                <w:highlight w:val="none"/>
              </w:rPr>
            </w:r>
            <w:r/>
          </w:p>
        </w:tc>
        <w:tc>
          <w:tcPr>
            <w:tcW w:w="2171" w:type="dxa"/>
            <w:vAlign w:val="center"/>
            <w:textDirection w:val="lrTb"/>
            <w:noWrap w:val="false"/>
          </w:tcPr>
          <w:p>
            <w:pPr>
              <w:pStyle w:val="730"/>
              <w:jc w:val="left"/>
              <w:keepLines w:val="0"/>
              <w:keepNext w:val="0"/>
              <w:widowControl/>
              <w:rPr>
                <w:rFonts w:hint="eastAsia" w:ascii="宋体" w:hAnsi="宋体" w:eastAsia="宋体" w:cs="宋体"/>
                <w:b w:val="0"/>
                <w:bCs w:val="0"/>
                <w:color w:val="000000"/>
                <w:sz w:val="24"/>
                <w:szCs w:val="24"/>
                <w:highlight w:val="none"/>
                <w:lang w:val="zh-CN"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中药临方加工（制丸）</w:t>
            </w:r>
            <w:r>
              <w:rPr>
                <w:rFonts w:hint="eastAsia" w:ascii="宋体" w:hAnsi="宋体" w:eastAsia="宋体" w:cs="宋体"/>
                <w:b w:val="0"/>
                <w:bCs w:val="0"/>
                <w:color w:val="000000"/>
                <w:sz w:val="24"/>
                <w:szCs w:val="24"/>
                <w:highlight w:val="none"/>
                <w:lang w:val="zh-CN" w:eastAsia="zh-CN"/>
              </w:rPr>
            </w:r>
            <w:r/>
          </w:p>
        </w:tc>
        <w:tc>
          <w:tcPr>
            <w:tcW w:w="808"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500g</w:t>
            </w:r>
            <w:r>
              <w:rPr>
                <w:rFonts w:ascii="宋体" w:hAnsi="宋体"/>
                <w:color w:val="000000"/>
                <w:sz w:val="21"/>
                <w:szCs w:val="21"/>
                <w:highlight w:val="none"/>
              </w:rPr>
            </w:r>
            <w:r/>
          </w:p>
        </w:tc>
        <w:tc>
          <w:tcPr>
            <w:tcW w:w="1724" w:type="dxa"/>
            <w:vAlign w:val="center"/>
            <w:textDirection w:val="lrTb"/>
            <w:noWrap w:val="false"/>
          </w:tcPr>
          <w:p>
            <w:pPr>
              <w:pStyle w:val="730"/>
              <w:jc w:val="center"/>
              <w:keepLines w:val="0"/>
              <w:keepNext w:val="0"/>
              <w:widowControl/>
              <w:rPr>
                <w:rFonts w:ascii="宋体" w:hAnsi="宋体"/>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ascii="宋体" w:hAnsi="宋体"/>
                <w:color w:val="000000"/>
                <w:sz w:val="21"/>
                <w:szCs w:val="21"/>
                <w:highlight w:val="none"/>
              </w:rPr>
            </w:r>
            <w:r/>
          </w:p>
        </w:tc>
        <w:tc>
          <w:tcPr>
            <w:tcW w:w="3073" w:type="dxa"/>
            <w:vAlign w:val="center"/>
            <w:textDirection w:val="lrTb"/>
            <w:noWrap w:val="false"/>
          </w:tcPr>
          <w:p>
            <w:pPr>
              <w:pStyle w:val="730"/>
              <w:jc w:val="left"/>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以500g为收费起点，不足500g按500g收费；每超过100g加收5.00元，不足100g按100g收费。</w:t>
            </w:r>
            <w:r>
              <w:rPr>
                <w:rFonts w:hint="eastAsia" w:ascii="宋体" w:hAnsi="宋体" w:eastAsia="宋体" w:cs="宋体"/>
                <w:color w:val="000000"/>
                <w:sz w:val="21"/>
                <w:szCs w:val="21"/>
                <w:highlight w:val="none"/>
                <w:lang w:eastAsia="zh-CN"/>
              </w:rPr>
            </w:r>
            <w:r/>
          </w:p>
        </w:tc>
      </w:tr>
    </w:tbl>
    <w:p>
      <w:pPr>
        <w:pStyle w:val="783"/>
        <w:ind w:firstLine="48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b/>
          <w:bCs/>
          <w:color w:val="000000"/>
          <w:sz w:val="24"/>
          <w:szCs w:val="24"/>
          <w:highlight w:val="none"/>
          <w:lang w:val="en-US" w:eastAsia="zh-CN"/>
        </w:rPr>
        <w:t xml:space="preserve">五、</w:t>
      </w:r>
      <w:r>
        <w:rPr>
          <w:rFonts w:hint="eastAsia" w:ascii="宋体" w:hAnsi="宋体" w:eastAsia="宋体" w:cs="Times New Roman"/>
          <w:b/>
          <w:bCs/>
          <w:color w:val="000000"/>
          <w:sz w:val="24"/>
          <w:szCs w:val="24"/>
          <w:highlight w:val="none"/>
        </w:rPr>
        <w:t xml:space="preserve">付款方式：</w:t>
      </w:r>
      <w:r>
        <w:rPr>
          <w:rFonts w:hint="eastAsia" w:ascii="宋体" w:hAnsi="宋体" w:eastAsia="宋体" w:cs="宋体"/>
          <w:color w:val="000000"/>
          <w:sz w:val="24"/>
          <w:szCs w:val="24"/>
          <w:highlight w:val="none"/>
          <w:u w:val="none"/>
        </w:rPr>
        <w:t xml:space="preserve">合同签订后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中药饮片及</w:t>
      </w:r>
      <w:r>
        <w:rPr>
          <w:rFonts w:hint="eastAsia" w:ascii="宋体" w:hAnsi="宋体" w:eastAsia="宋体" w:cs="宋体"/>
          <w:color w:val="000000"/>
          <w:sz w:val="24"/>
          <w:szCs w:val="24"/>
          <w:highlight w:val="none"/>
          <w:u w:val="none"/>
          <w:lang w:val="en-US" w:eastAsia="zh-CN"/>
        </w:rPr>
        <w:t xml:space="preserve">代</w:t>
      </w:r>
      <w:r>
        <w:rPr>
          <w:rFonts w:hint="eastAsia" w:ascii="宋体" w:hAnsi="宋体" w:eastAsia="宋体" w:cs="宋体"/>
          <w:color w:val="000000"/>
          <w:sz w:val="24"/>
          <w:szCs w:val="24"/>
          <w:highlight w:val="none"/>
          <w:u w:val="none"/>
        </w:rPr>
        <w:t xml:space="preserve">加工费按实际采购量、处方结算</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中药</w:t>
      </w:r>
      <w:r>
        <w:rPr>
          <w:rFonts w:hint="eastAsia" w:ascii="宋体" w:hAnsi="宋体" w:cs="宋体"/>
          <w:color w:val="000000"/>
          <w:sz w:val="24"/>
          <w:szCs w:val="24"/>
          <w:highlight w:val="none"/>
          <w:u w:val="none"/>
          <w:lang w:val="en-US" w:eastAsia="zh-CN"/>
        </w:rPr>
        <w:t xml:space="preserve">饮片</w:t>
      </w:r>
      <w:r>
        <w:rPr>
          <w:rFonts w:hint="eastAsia" w:ascii="宋体" w:hAnsi="宋体" w:eastAsia="宋体" w:cs="宋体"/>
          <w:color w:val="000000"/>
          <w:sz w:val="24"/>
          <w:szCs w:val="24"/>
          <w:highlight w:val="none"/>
          <w:u w:val="none"/>
          <w:lang w:val="en-US" w:eastAsia="zh-CN"/>
        </w:rPr>
        <w:t xml:space="preserve">每克</w:t>
      </w:r>
      <w:r>
        <w:rPr>
          <w:rFonts w:hint="eastAsia" w:ascii="宋体" w:hAnsi="宋体" w:eastAsia="宋体" w:cs="宋体"/>
          <w:color w:val="000000"/>
          <w:sz w:val="24"/>
          <w:szCs w:val="24"/>
          <w:highlight w:val="none"/>
          <w:u w:val="none"/>
        </w:rPr>
        <w:t xml:space="preserve">单价=</w:t>
      </w:r>
      <w:r>
        <w:rPr>
          <w:rFonts w:hint="eastAsia" w:ascii="宋体" w:hAnsi="宋体" w:eastAsia="宋体" w:cs="宋体"/>
          <w:color w:val="000000"/>
          <w:sz w:val="24"/>
          <w:szCs w:val="24"/>
          <w:highlight w:val="none"/>
          <w:u w:val="none"/>
          <w:lang w:eastAsia="zh-CN"/>
        </w:rPr>
        <w:t xml:space="preserve">（1-中标优惠率）</w:t>
      </w:r>
      <w:r>
        <w:rPr>
          <w:rFonts w:hint="eastAsia" w:ascii="宋体" w:hAnsi="宋体" w:eastAsia="宋体" w:cs="宋体"/>
          <w:color w:val="000000"/>
          <w:sz w:val="24"/>
          <w:szCs w:val="24"/>
          <w:highlight w:val="none"/>
          <w:u w:val="none"/>
        </w:rPr>
        <w:t xml:space="preserve">*单</w:t>
      </w:r>
      <w:r>
        <w:rPr>
          <w:rFonts w:hint="eastAsia" w:ascii="宋体" w:hAnsi="宋体" w:eastAsia="宋体" w:cs="宋体"/>
          <w:color w:val="000000"/>
          <w:sz w:val="24"/>
          <w:szCs w:val="24"/>
          <w:highlight w:val="none"/>
          <w:u w:val="none"/>
          <w:lang w:val="en-US" w:eastAsia="zh-CN"/>
        </w:rPr>
        <w:t xml:space="preserve">克</w:t>
      </w:r>
      <w:r>
        <w:rPr>
          <w:rFonts w:hint="eastAsia" w:ascii="宋体" w:hAnsi="宋体" w:eastAsia="宋体" w:cs="宋体"/>
          <w:color w:val="000000"/>
          <w:sz w:val="24"/>
          <w:szCs w:val="24"/>
          <w:highlight w:val="none"/>
          <w:u w:val="none"/>
        </w:rPr>
        <w:t xml:space="preserve">最高限价</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数量按实结算</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中标方开具正规发票</w:t>
      </w:r>
      <w:r>
        <w:rPr>
          <w:rFonts w:hint="eastAsia" w:ascii="宋体" w:hAnsi="宋体" w:eastAsia="宋体" w:cs="宋体"/>
          <w:color w:val="000000"/>
          <w:sz w:val="24"/>
          <w:szCs w:val="24"/>
          <w:highlight w:val="none"/>
        </w:rPr>
        <w:t xml:space="preserve">，甲方收到发票后根据</w:t>
      </w:r>
      <w:r>
        <w:rPr>
          <w:rFonts w:hint="eastAsia" w:ascii="宋体" w:hAnsi="宋体" w:eastAsia="宋体" w:cs="宋体"/>
          <w:color w:val="000000"/>
          <w:sz w:val="24"/>
          <w:szCs w:val="24"/>
          <w:highlight w:val="none"/>
          <w:lang w:val="en-US" w:eastAsia="zh-CN"/>
        </w:rPr>
        <w:t xml:space="preserve">院方</w:t>
      </w:r>
      <w:r>
        <w:rPr>
          <w:rFonts w:hint="eastAsia" w:ascii="宋体" w:hAnsi="宋体" w:eastAsia="宋体" w:cs="宋体"/>
          <w:color w:val="000000"/>
          <w:sz w:val="24"/>
          <w:szCs w:val="24"/>
          <w:highlight w:val="none"/>
        </w:rPr>
        <w:t xml:space="preserve">账期向乙方付款</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730"/>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t xml:space="preserve">第二部分  政府采购政策（包括但不限于下列具体政策要求）</w:t>
      </w:r>
      <w:r>
        <w:rPr>
          <w:rFonts w:ascii="宋体" w:hAnsi="宋体" w:eastAsia="宋体" w:cs="宋体"/>
          <w:b/>
          <w:bCs/>
          <w:color w:val="000000"/>
          <w:sz w:val="30"/>
          <w:szCs w:val="30"/>
          <w:highlight w:val="none"/>
        </w:rPr>
      </w:r>
      <w:r/>
    </w:p>
    <w:p>
      <w:pPr>
        <w:pStyle w:val="730"/>
        <w:numPr>
          <w:ilvl w:val="1"/>
          <w:numId w:val="11"/>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ascii="宋体" w:hAnsi="宋体" w:eastAsia="宋体" w:cs="宋体"/>
          <w:bCs/>
          <w:color w:val="000000"/>
          <w:sz w:val="24"/>
          <w:szCs w:val="24"/>
          <w:highlight w:val="none"/>
        </w:rPr>
      </w:r>
      <w:r/>
    </w:p>
    <w:p>
      <w:pPr>
        <w:pStyle w:val="730"/>
        <w:numPr>
          <w:ilvl w:val="1"/>
          <w:numId w:val="11"/>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eastAsia="宋体" w:cs="宋体"/>
          <w:bCs/>
          <w:color w:val="000000"/>
          <w:sz w:val="24"/>
          <w:szCs w:val="24"/>
          <w:highlight w:val="none"/>
        </w:rPr>
      </w:r>
      <w:r/>
    </w:p>
    <w:p>
      <w:pPr>
        <w:pStyle w:val="730"/>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hAnsi="宋体" w:eastAsia="宋体" w:cs="宋体"/>
          <w:bCs/>
          <w:color w:val="000000"/>
          <w:sz w:val="24"/>
          <w:szCs w:val="24"/>
          <w:highlight w:val="none"/>
        </w:rPr>
      </w:r>
      <w:r/>
    </w:p>
    <w:p>
      <w:pPr>
        <w:pStyle w:val="730"/>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hAnsi="宋体" w:eastAsia="宋体" w:cs="宋体"/>
          <w:bCs/>
          <w:color w:val="000000"/>
          <w:sz w:val="24"/>
          <w:szCs w:val="24"/>
          <w:highlight w:val="none"/>
        </w:rPr>
      </w:r>
      <w:r/>
    </w:p>
    <w:p>
      <w:pPr>
        <w:pStyle w:val="730"/>
        <w:numPr>
          <w:ilvl w:val="1"/>
          <w:numId w:val="11"/>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bCs/>
          <w:color w:val="000000"/>
          <w:sz w:val="24"/>
          <w:szCs w:val="24"/>
          <w:highlight w:val="none"/>
        </w:rPr>
      </w:r>
      <w:r/>
    </w:p>
    <w:p>
      <w:pPr>
        <w:pStyle w:val="730"/>
        <w:numPr>
          <w:ilvl w:val="1"/>
          <w:numId w:val="11"/>
        </w:numPr>
        <w:ind w:left="0" w:firstLine="525"/>
        <w:spacing w:line="360" w:lineRule="auto"/>
        <w:tabs>
          <w:tab w:val="left" w:pos="525" w:leader="none"/>
          <w:tab w:val="left" w:pos="780"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rPr>
          <w:rFonts w:ascii="宋体" w:hAnsi="宋体" w:eastAsia="宋体" w:cs="宋体"/>
          <w:color w:val="000000"/>
          <w:sz w:val="24"/>
          <w:szCs w:val="24"/>
          <w:highlight w:val="none"/>
        </w:rPr>
      </w:r>
      <w:r/>
    </w:p>
    <w:p>
      <w:pPr>
        <w:pStyle w:val="730"/>
        <w:numPr>
          <w:ilvl w:val="1"/>
          <w:numId w:val="11"/>
        </w:numPr>
        <w:ind w:left="0" w:firstLine="525"/>
        <w:spacing w:line="360" w:lineRule="auto"/>
        <w:tabs>
          <w:tab w:val="left" w:pos="525" w:leader="none"/>
          <w:tab w:val="left" w:pos="780"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eastAsia="宋体" w:cs="宋体"/>
          <w:color w:val="000000"/>
          <w:sz w:val="24"/>
          <w:szCs w:val="24"/>
          <w:highlight w:val="none"/>
        </w:rPr>
      </w:r>
      <w:r/>
    </w:p>
    <w:p>
      <w:pPr>
        <w:pStyle w:val="730"/>
        <w:numPr>
          <w:ilvl w:val="1"/>
          <w:numId w:val="11"/>
        </w:numPr>
        <w:ind w:left="0" w:firstLine="480"/>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rPr>
          <w:rFonts w:ascii="宋体" w:hAnsi="宋体" w:eastAsia="宋体" w:cs="宋体"/>
          <w:bCs/>
          <w:color w:val="000000"/>
          <w:sz w:val="24"/>
          <w:szCs w:val="24"/>
          <w:highlight w:val="none"/>
        </w:rPr>
      </w:r>
      <w:r/>
    </w:p>
    <w:p>
      <w:pPr>
        <w:pStyle w:val="730"/>
        <w:numPr>
          <w:ilvl w:val="1"/>
          <w:numId w:val="11"/>
        </w:numPr>
        <w:ind w:left="0" w:firstLine="480"/>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bCs/>
          <w:color w:val="000000"/>
          <w:sz w:val="24"/>
          <w:szCs w:val="24"/>
          <w:highlight w:val="none"/>
        </w:rPr>
      </w:r>
      <w:r/>
    </w:p>
    <w:p>
      <w:pPr>
        <w:pStyle w:val="730"/>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bCs/>
          <w:color w:val="000000"/>
          <w:sz w:val="24"/>
          <w:szCs w:val="24"/>
          <w:highlight w:val="none"/>
        </w:rPr>
      </w:r>
      <w:r/>
    </w:p>
    <w:p>
      <w:pPr>
        <w:pStyle w:val="730"/>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采购人原则上应当自收到发票后10个工作日内将资金支付到合同约定的供应商账户。</w:t>
      </w:r>
      <w:r>
        <w:rPr>
          <w:rFonts w:ascii="宋体" w:hAnsi="宋体" w:eastAsia="宋体" w:cs="宋体"/>
          <w:bCs/>
          <w:color w:val="000000"/>
          <w:sz w:val="24"/>
          <w:szCs w:val="24"/>
          <w:highlight w:val="none"/>
        </w:rPr>
      </w:r>
      <w:r/>
    </w:p>
    <w:p>
      <w:pPr>
        <w:pStyle w:val="73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730"/>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36"/>
          <w:szCs w:val="36"/>
          <w:highlight w:val="none"/>
        </w:rPr>
      </w:pPr>
      <w:r>
        <w:rPr>
          <w:rFonts w:hint="eastAsia" w:ascii="宋体" w:hAnsi="宋体" w:eastAsia="宋体" w:cs="宋体"/>
          <w:b/>
          <w:color w:val="000000"/>
          <w:sz w:val="36"/>
          <w:szCs w:val="36"/>
          <w:highlight w:val="none"/>
        </w:rPr>
        <w:t xml:space="preserve">第五章</w:t>
      </w:r>
      <w:r>
        <w:rPr>
          <w:rFonts w:hint="eastAsia" w:ascii="宋体" w:hAnsi="宋体" w:eastAsia="宋体" w:cs="宋体"/>
          <w:b/>
          <w:bCs/>
          <w:color w:val="000000"/>
          <w:sz w:val="36"/>
          <w:szCs w:val="36"/>
          <w:highlight w:val="none"/>
        </w:rPr>
        <w:t xml:space="preserve">评标方法与评标标准</w:t>
      </w:r>
      <w:r>
        <w:rPr>
          <w:rFonts w:ascii="宋体" w:hAnsi="宋体" w:eastAsia="宋体" w:cs="宋体"/>
          <w:bCs/>
          <w:color w:val="000000"/>
          <w:sz w:val="36"/>
          <w:szCs w:val="36"/>
          <w:highlight w:val="none"/>
        </w:rPr>
      </w:r>
      <w:r/>
    </w:p>
    <w:p>
      <w:pPr>
        <w:pStyle w:val="927"/>
        <w:ind w:firstLine="452"/>
        <w:keepLines w:val="0"/>
        <w:keepNext w:val="0"/>
        <w:spacing w:before="0" w:after="0" w:line="360" w:lineRule="auto"/>
        <w:rPr>
          <w:rFonts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t xml:space="preserve">第一部分评标方法</w:t>
      </w:r>
      <w:r>
        <w:rPr>
          <w:rFonts w:ascii="宋体" w:hAnsi="宋体" w:cs="宋体"/>
          <w:color w:val="000000"/>
          <w:sz w:val="30"/>
          <w:szCs w:val="30"/>
          <w:highlight w:val="none"/>
          <w:lang w:eastAsia="zh-CN"/>
        </w:rPr>
      </w:r>
      <w:r/>
    </w:p>
    <w:p>
      <w:pPr>
        <w:pStyle w:val="1167"/>
        <w:spacing w:before="0" w:after="0"/>
        <w:rPr>
          <w:rFonts w:ascii="宋体" w:hAnsi="宋体" w:cs="宋体"/>
          <w:color w:val="000000"/>
          <w:highlight w:val="none"/>
        </w:rPr>
      </w:pPr>
      <w:r>
        <w:rPr>
          <w:rFonts w:hint="eastAsia" w:ascii="宋体" w:hAnsi="宋体" w:cs="宋体"/>
          <w:color w:val="000000"/>
          <w:highlight w:val="none"/>
        </w:rPr>
        <w:t xml:space="preserve">投标人通过初审的，方可进入比较与评价程序。</w:t>
      </w:r>
      <w:r>
        <w:rPr>
          <w:rFonts w:ascii="宋体" w:hAnsi="宋体" w:cs="宋体"/>
          <w:color w:val="000000"/>
          <w:highlight w:val="none"/>
        </w:rPr>
      </w:r>
      <w:r/>
    </w:p>
    <w:p>
      <w:pPr>
        <w:pStyle w:val="1167"/>
        <w:spacing w:before="0" w:after="0"/>
        <w:rPr>
          <w:rFonts w:ascii="宋体" w:hAnsi="宋体" w:cs="宋体"/>
          <w:color w:val="000000"/>
          <w:highlight w:val="none"/>
        </w:rPr>
      </w:pPr>
      <w:r>
        <w:rPr>
          <w:rFonts w:hint="eastAsia" w:ascii="宋体" w:hAnsi="宋体" w:cs="宋体"/>
          <w:color w:val="000000"/>
          <w:highlight w:val="none"/>
        </w:rPr>
        <w:t xml:space="preserve">比较与评价采用综合评分法。</w:t>
      </w:r>
      <w:r>
        <w:rPr>
          <w:rFonts w:ascii="宋体" w:hAnsi="宋体" w:cs="宋体"/>
          <w:color w:val="000000"/>
          <w:highlight w:val="none"/>
        </w:rPr>
      </w:r>
      <w:r/>
    </w:p>
    <w:p>
      <w:pPr>
        <w:pStyle w:val="1167"/>
        <w:spacing w:before="0" w:after="0"/>
        <w:rPr>
          <w:rStyle w:val="860"/>
          <w:rFonts w:ascii="宋体" w:hAnsi="宋体" w:eastAsia="宋体" w:cs="宋体"/>
          <w:color w:val="000000"/>
          <w:highlight w:val="none"/>
        </w:rPr>
      </w:pPr>
      <w:r>
        <w:rPr>
          <w:rFonts w:hint="eastAsia" w:ascii="宋体" w:hAnsi="宋体" w:cs="宋体"/>
          <w:bCs/>
          <w:color w:val="000000"/>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投标文件满足招标文件全部实质性要求，且按照评审因素的量化指标评审得分最高、排名第一的供应商为该采购包的中标供应商。</w:t>
      </w:r>
      <w:r>
        <w:rPr>
          <w:rStyle w:val="860"/>
          <w:rFonts w:ascii="宋体" w:hAnsi="宋体" w:eastAsia="宋体" w:cs="宋体"/>
          <w:color w:val="000000"/>
          <w:highlight w:val="none"/>
        </w:rPr>
      </w:r>
      <w:r/>
    </w:p>
    <w:p>
      <w:pPr>
        <w:pStyle w:val="1167"/>
        <w:spacing w:before="0" w:after="0"/>
        <w:rPr>
          <w:rFonts w:ascii="宋体" w:hAnsi="宋体" w:cs="宋体"/>
          <w:color w:val="000000"/>
          <w:highlight w:val="none"/>
          <w:shd w:val="clear" w:color="ffffff" w:fill="d9d9d9"/>
        </w:rPr>
      </w:pPr>
      <w:r>
        <w:rPr>
          <w:rFonts w:hint="eastAsia" w:ascii="宋体" w:hAnsi="宋体" w:cs="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cs="宋体"/>
          <w:color w:val="000000"/>
          <w:highlight w:val="none"/>
          <w:shd w:val="clear" w:color="ffffff" w:fill="d9d9d9"/>
        </w:rPr>
      </w:r>
      <w:r/>
    </w:p>
    <w:p>
      <w:pPr>
        <w:pStyle w:val="730"/>
        <w:ind w:firstLine="600"/>
        <w:jc w:val="left"/>
        <w:spacing w:line="360" w:lineRule="auto"/>
        <w:widowControl/>
        <w:rPr>
          <w:rFonts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第二部分评标标准</w:t>
      </w:r>
      <w:r>
        <w:rPr>
          <w:rFonts w:ascii="宋体" w:hAnsi="宋体" w:eastAsia="宋体" w:cs="宋体"/>
          <w:b/>
          <w:color w:val="000000"/>
          <w:sz w:val="30"/>
          <w:szCs w:val="30"/>
          <w:highlight w:val="none"/>
        </w:rPr>
      </w:r>
      <w:r/>
    </w:p>
    <w:p>
      <w:pPr>
        <w:pStyle w:val="1167"/>
        <w:ind w:firstLine="562"/>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一、落实政府采购政策的价格调整</w:t>
      </w:r>
      <w:r>
        <w:rPr>
          <w:rFonts w:ascii="宋体" w:hAnsi="宋体" w:cs="宋体"/>
          <w:b/>
          <w:color w:val="000000"/>
          <w:sz w:val="28"/>
          <w:szCs w:val="28"/>
          <w:highlight w:val="none"/>
        </w:rPr>
      </w:r>
      <w:r/>
    </w:p>
    <w:p>
      <w:pPr>
        <w:pStyle w:val="730"/>
        <w:ind w:firstLine="482"/>
        <w:jc w:val="left"/>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小微型企业价格扣除：（本项目专门面向中小企业采购，无价格扣除）</w:t>
      </w:r>
      <w:r>
        <w:rPr>
          <w:rFonts w:ascii="宋体" w:hAnsi="宋体" w:eastAsia="宋体" w:cs="宋体"/>
          <w:b/>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本项目不接受联合投标</w:t>
      </w:r>
      <w:r>
        <w:rPr>
          <w:rFonts w:hint="eastAsia" w:ascii="宋体" w:hAnsi="宋体" w:eastAsia="宋体" w:cs="宋体"/>
          <w:bCs/>
          <w:color w:val="000000"/>
          <w:sz w:val="24"/>
          <w:highlight w:val="none"/>
        </w:rPr>
        <w:t xml:space="preserve">）</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联合体各方均为小型、微型企业的，联合体视同为小型、微型企业按规定享受价格扣除。</w:t>
      </w:r>
      <w:r>
        <w:rPr>
          <w:rFonts w:ascii="宋体" w:hAnsi="宋体" w:eastAsia="宋体" w:cs="宋体"/>
          <w:bCs/>
          <w:color w:val="000000"/>
          <w:sz w:val="24"/>
          <w:szCs w:val="24"/>
          <w:highlight w:val="none"/>
        </w:rPr>
      </w:r>
      <w:r/>
    </w:p>
    <w:p>
      <w:pPr>
        <w:pStyle w:val="730"/>
        <w:ind w:firstLine="480"/>
        <w:jc w:val="left"/>
        <w:spacing w:line="360" w:lineRule="auto"/>
        <w:rPr>
          <w:rFonts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宋体" w:hAnsi="宋体" w:eastAsia="宋体" w:cs="宋体"/>
          <w:b/>
          <w:color w:val="000000"/>
          <w:sz w:val="28"/>
          <w:szCs w:val="28"/>
          <w:highlight w:val="none"/>
        </w:rPr>
      </w:r>
      <w:r/>
    </w:p>
    <w:p>
      <w:pPr>
        <w:pStyle w:val="1167"/>
        <w:numPr>
          <w:ilvl w:val="0"/>
          <w:numId w:val="12"/>
        </w:numPr>
        <w:ind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评分标准</w:t>
      </w:r>
      <w:r>
        <w:rPr>
          <w:rFonts w:ascii="宋体" w:hAnsi="宋体" w:cs="宋体"/>
          <w:b/>
          <w:color w:val="000000"/>
          <w:sz w:val="28"/>
          <w:szCs w:val="28"/>
          <w:highlight w:val="none"/>
        </w:rPr>
      </w:r>
      <w:r/>
    </w:p>
    <w:p>
      <w:pPr>
        <w:pStyle w:val="730"/>
        <w:ind w:firstLine="560"/>
        <w:keepLines w:val="0"/>
        <w:keepNext w:val="0"/>
        <w:pageBreakBefore w:val="0"/>
        <w:spacing w:line="360" w:lineRule="auto"/>
        <w:widowControl w:val="off"/>
        <w:rPr>
          <w:rFonts w:hint="eastAsia" w:ascii="宋体" w:hAnsi="宋体"/>
          <w:b/>
          <w:color w:val="000000"/>
          <w:sz w:val="28"/>
          <w:szCs w:val="28"/>
          <w:highlight w:val="none"/>
        </w:rPr>
      </w:pPr>
      <w:r>
        <w:rPr>
          <w:rFonts w:hint="eastAsia" w:ascii="宋体" w:hAnsi="宋体"/>
          <w:b/>
          <w:color w:val="000000"/>
          <w:sz w:val="28"/>
          <w:szCs w:val="28"/>
          <w:highlight w:val="none"/>
          <w:u w:val="single"/>
        </w:rPr>
        <w:t xml:space="preserve">特别注意</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本项目采用暗标形式</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投标人须对商务部分和技术部分分别进行制作</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其中技术部分属于暗标</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投标人在制作技术部分相关内容时不得有体现投标人身份的内容</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否则投标无效</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rPr>
      </w:r>
      <w:r/>
    </w:p>
    <w:p>
      <w:pPr>
        <w:pStyle w:val="73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价格分</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730"/>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商务标                                      </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30"/>
        <w:ind w:firstLine="480"/>
        <w:spacing w:line="360" w:lineRule="auto"/>
        <w:rPr>
          <w:rFonts w:hint="eastAsia" w:ascii="宋体" w:hAnsi="宋体" w:eastAsia="宋体" w:cs="宋体"/>
          <w:b/>
          <w:color w:val="000000"/>
          <w:sz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、技术标                                      </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分</w:t>
      </w:r>
      <w:r>
        <w:rPr>
          <w:rFonts w:hint="eastAsia" w:ascii="宋体" w:hAnsi="宋体" w:eastAsia="宋体" w:cs="宋体"/>
          <w:b/>
          <w:color w:val="000000"/>
          <w:sz w:val="24"/>
          <w:highlight w:val="none"/>
        </w:rPr>
      </w:r>
      <w:r/>
    </w:p>
    <w:p>
      <w:pPr>
        <w:pStyle w:val="730"/>
        <w:ind w:firstLine="480"/>
        <w:keepLines w:val="0"/>
        <w:keepNext w:val="0"/>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一、价格分（</w:t>
      </w: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0分）</w:t>
      </w:r>
      <w:r>
        <w:rPr>
          <w:rFonts w:ascii="宋体" w:hAnsi="宋体" w:eastAsia="宋体" w:cs="宋体"/>
          <w:b/>
          <w:color w:val="000000"/>
          <w:sz w:val="24"/>
          <w:highlight w:val="none"/>
        </w:rPr>
      </w:r>
      <w:r/>
    </w:p>
    <w:p>
      <w:pPr>
        <w:pStyle w:val="73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即满足采购文件要求且有效的</w:t>
      </w:r>
      <w:r>
        <w:rPr>
          <w:rFonts w:hint="eastAsia" w:ascii="宋体" w:hAnsi="宋体"/>
          <w:bCs/>
          <w:color w:val="000000"/>
          <w:sz w:val="24"/>
          <w:highlight w:val="none"/>
        </w:rPr>
        <w:t xml:space="preserve">折扣率</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折扣率=1-优惠率</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最低的报价人的</w:t>
      </w:r>
      <w:r>
        <w:rPr>
          <w:rFonts w:hint="eastAsia" w:ascii="宋体" w:hAnsi="宋体"/>
          <w:bCs/>
          <w:color w:val="000000"/>
          <w:sz w:val="24"/>
          <w:highlight w:val="none"/>
          <w:lang w:val="en-US" w:eastAsia="zh-CN"/>
        </w:rPr>
        <w:t xml:space="preserve">优惠</w:t>
      </w:r>
      <w:r>
        <w:rPr>
          <w:rFonts w:hint="eastAsia" w:ascii="宋体" w:hAnsi="宋体"/>
          <w:bCs/>
          <w:color w:val="000000"/>
          <w:sz w:val="24"/>
          <w:highlight w:val="none"/>
        </w:rPr>
        <w:t xml:space="preserve">率</w:t>
      </w:r>
      <w:r>
        <w:rPr>
          <w:rFonts w:hint="eastAsia" w:ascii="宋体" w:hAnsi="宋体" w:eastAsia="宋体"/>
          <w:bCs/>
          <w:color w:val="000000"/>
          <w:sz w:val="24"/>
          <w:highlight w:val="none"/>
          <w:lang w:val="en-US" w:eastAsia="zh-CN"/>
        </w:rPr>
        <w:t xml:space="preserve">为</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投标报价得分=（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投标报价）×价格权值×100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结果保留两位小数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0"/>
        <w:ind w:firstLine="482"/>
        <w:keepLines w:val="0"/>
        <w:keepNext w:val="0"/>
        <w:pageBreakBefore w:val="0"/>
        <w:spacing w:line="360" w:lineRule="auto"/>
        <w:widowControl w:val="off"/>
        <w:rPr>
          <w:rFonts w:ascii="宋体" w:hAnsi="宋体" w:eastAsia="宋体" w:cs="宋体"/>
          <w:b/>
          <w:color w:val="000000"/>
          <w:sz w:val="24"/>
          <w:szCs w:val="24"/>
          <w:highlight w:val="none"/>
        </w:rPr>
        <w:outlineLvl w:val="0"/>
      </w:pPr>
      <w:r>
        <w:rPr>
          <w:rFonts w:hint="eastAsia" w:hAnsi="宋体" w:eastAsia="宋体" w:cs="宋体"/>
          <w:b/>
          <w:color w:val="000000"/>
          <w:sz w:val="24"/>
          <w:szCs w:val="24"/>
          <w:highlight w:val="none"/>
        </w:rPr>
        <w:t xml:space="preserve">二、商务标部分（</w:t>
      </w:r>
      <w:r>
        <w:rPr>
          <w:rFonts w:hint="eastAsia" w:hAnsi="宋体" w:eastAsia="宋体" w:cs="宋体"/>
          <w:b/>
          <w:color w:val="000000"/>
          <w:sz w:val="24"/>
          <w:szCs w:val="24"/>
          <w:highlight w:val="none"/>
          <w:lang w:val="en-US" w:eastAsia="zh-CN"/>
        </w:rPr>
        <w:t xml:space="preserve">20</w:t>
      </w:r>
      <w:r>
        <w:rPr>
          <w:rFonts w:hint="eastAsia" w:hAnsi="宋体" w:eastAsia="宋体" w:cs="宋体"/>
          <w:b/>
          <w:color w:val="000000"/>
          <w:sz w:val="24"/>
          <w:szCs w:val="24"/>
          <w:highlight w:val="none"/>
        </w:rPr>
        <w:t xml:space="preserve">分）</w:t>
      </w:r>
      <w:r>
        <w:rPr>
          <w:rFonts w:ascii="宋体" w:hAnsi="宋体" w:eastAsia="宋体" w:cs="宋体"/>
          <w:b/>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（1）业绩（2分）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b w:val="0"/>
          <w:bCs w:val="0"/>
          <w:color w:val="000000"/>
          <w:sz w:val="24"/>
          <w:highlight w:val="none"/>
        </w:rPr>
      </w:pPr>
      <w:r>
        <w:rPr>
          <w:rFonts w:hint="eastAsia" w:ascii="宋体" w:hAnsi="宋体" w:eastAsia="宋体" w:cs="宋体"/>
          <w:b w:val="0"/>
          <w:bCs w:val="0"/>
          <w:color w:val="000000"/>
          <w:sz w:val="24"/>
          <w:szCs w:val="24"/>
          <w:highlight w:val="none"/>
          <w:lang w:val="en-US" w:eastAsia="zh-CN"/>
        </w:rPr>
        <w:t xml:space="preserve">提供自2023年1月1日以来（以签订合同时间为准）承担过医疗机构类似项目业绩（如：中药饮片供应、中药代加工服务等），有一个得1分，最高得2分。提供业绩合同，供货发票</w:t>
      </w:r>
      <w:r>
        <w:rPr>
          <w:rFonts w:hint="eastAsia" w:ascii="宋体" w:hAnsi="宋体" w:eastAsia="宋体" w:cs="宋体"/>
          <w:color w:val="000000"/>
          <w:sz w:val="24"/>
          <w:szCs w:val="24"/>
          <w:highlight w:val="none"/>
        </w:rPr>
        <w:t xml:space="preserve">原件</w:t>
      </w:r>
      <w:r>
        <w:rPr>
          <w:rFonts w:hint="eastAsia" w:ascii="宋体" w:hAnsi="宋体" w:eastAsia="宋体" w:cs="宋体"/>
          <w:color w:val="000000"/>
          <w:sz w:val="24"/>
          <w:szCs w:val="24"/>
          <w:highlight w:val="none"/>
          <w:lang w:val="en-US" w:eastAsia="zh-CN"/>
        </w:rPr>
        <w:t xml:space="preserve">扫描件上传系统并签章</w:t>
      </w:r>
      <w:r>
        <w:rPr>
          <w:rFonts w:hint="eastAsia" w:ascii="宋体"/>
          <w:b w:val="0"/>
          <w:bCs w:val="0"/>
          <w:color w:val="000000"/>
          <w:sz w:val="24"/>
          <w:highlight w:val="none"/>
        </w:rPr>
        <w:t xml:space="preserve">，不提供或提供不符合要求均不得分。</w:t>
      </w:r>
      <w:r>
        <w:rPr>
          <w:rFonts w:hint="eastAsia" w:ascii="宋体"/>
          <w:b w:val="0"/>
          <w:bCs w:val="0"/>
          <w:color w:val="000000"/>
          <w:sz w:val="24"/>
          <w:highlight w:val="none"/>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（2）供应保障能力（1分）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投标供应商销售的饮片品种在满足</w:t>
      </w:r>
      <w:r>
        <w:rPr>
          <w:rFonts w:hint="eastAsia" w:ascii="宋体" w:hAnsi="宋体" w:cs="宋体"/>
          <w:color w:val="000000"/>
          <w:sz w:val="24"/>
          <w:highlight w:val="none"/>
        </w:rPr>
        <w:t xml:space="preserve">采购人</w:t>
      </w:r>
      <w:r>
        <w:rPr>
          <w:rFonts w:hint="eastAsia" w:ascii="宋体" w:hAnsi="宋体" w:eastAsia="宋体" w:cs="宋体"/>
          <w:color w:val="000000"/>
          <w:sz w:val="24"/>
          <w:highlight w:val="none"/>
          <w:lang w:val="en-US" w:eastAsia="zh-CN"/>
        </w:rPr>
        <w:t xml:space="preserve">要求的基础上，达到</w:t>
      </w:r>
      <w:r>
        <w:rPr>
          <w:rFonts w:hint="eastAsia" w:ascii="宋体" w:hAnsi="宋体" w:eastAsia="宋体" w:cs="宋体"/>
          <w:b w:val="0"/>
          <w:bCs w:val="0"/>
          <w:color w:val="000000"/>
          <w:sz w:val="24"/>
          <w:szCs w:val="24"/>
          <w:highlight w:val="none"/>
          <w:lang w:val="en-US" w:eastAsia="zh-CN"/>
        </w:rPr>
        <w:t xml:space="preserve"> 600 种（含）-800 种得0.5分；达到800 种（含）以上的得1分，本项最高得1分。需提供销售的饮片品种目录清单的生产或经营记录</w:t>
      </w:r>
      <w:r>
        <w:rPr>
          <w:rFonts w:hint="eastAsia" w:ascii="宋体" w:hAnsi="宋体" w:eastAsia="宋体" w:cs="宋体"/>
          <w:color w:val="000000"/>
          <w:sz w:val="24"/>
          <w:szCs w:val="24"/>
          <w:highlight w:val="none"/>
          <w:lang w:val="en-US" w:eastAsia="zh-CN"/>
        </w:rPr>
        <w:t xml:space="preserve">扫描件上传系统并签章</w:t>
      </w:r>
      <w:r>
        <w:rPr>
          <w:rFonts w:hint="eastAsia" w:ascii="宋体"/>
          <w:b w:val="0"/>
          <w:bCs w:val="0"/>
          <w:color w:val="000000"/>
          <w:sz w:val="24"/>
          <w:highlight w:val="none"/>
        </w:rPr>
        <w:t xml:space="preserve">，不提供或提供不符合要求均不得分。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（3）人员配备（4分）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投标供应商为本项目配备中药师（含以上）或执业中药师有1人得1分，满分4分，需提供</w:t>
      </w:r>
      <w:r>
        <w:rPr>
          <w:rFonts w:hint="eastAsia" w:ascii="宋体" w:hAnsi="宋体" w:cs="宋体"/>
          <w:b w:val="0"/>
          <w:bCs w:val="0"/>
          <w:color w:val="000000"/>
          <w:sz w:val="24"/>
          <w:szCs w:val="24"/>
          <w:highlight w:val="none"/>
          <w:lang w:val="en-US" w:eastAsia="zh-CN"/>
        </w:rPr>
        <w:t xml:space="preserve">药师职称证书或</w:t>
      </w:r>
      <w:r>
        <w:rPr>
          <w:rFonts w:hint="eastAsia" w:ascii="宋体" w:hAnsi="宋体" w:eastAsia="宋体" w:cs="宋体"/>
          <w:b w:val="0"/>
          <w:bCs w:val="0"/>
          <w:color w:val="000000"/>
          <w:sz w:val="24"/>
          <w:szCs w:val="24"/>
          <w:highlight w:val="none"/>
          <w:lang w:val="en-US" w:eastAsia="zh-CN"/>
        </w:rPr>
        <w:t xml:space="preserve">药师执业资格证</w:t>
      </w:r>
      <w:r>
        <w:rPr>
          <w:rFonts w:hint="eastAsia" w:ascii="宋体" w:hAnsi="宋体" w:cs="宋体"/>
          <w:b w:val="0"/>
          <w:bCs w:val="0"/>
          <w:color w:val="000000"/>
          <w:sz w:val="24"/>
          <w:szCs w:val="24"/>
          <w:highlight w:val="none"/>
          <w:lang w:val="en-US" w:eastAsia="zh-CN"/>
        </w:rPr>
        <w:t xml:space="preserve">书</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投标供应商为其</w:t>
      </w:r>
      <w:r>
        <w:rPr>
          <w:rFonts w:hint="eastAsia" w:ascii="宋体" w:hAnsi="宋体" w:cs="宋体"/>
          <w:bCs/>
          <w:color w:val="000000"/>
          <w:sz w:val="24"/>
          <w:szCs w:val="24"/>
          <w:highlight w:val="none"/>
          <w:lang w:val="en-US" w:eastAsia="zh-CN"/>
        </w:rPr>
        <w:t xml:space="preserve">缴纳</w:t>
      </w:r>
      <w:r>
        <w:rPr>
          <w:rFonts w:hint="eastAsia" w:ascii="宋体" w:hAnsi="宋体" w:eastAsia="宋体" w:cs="宋体"/>
          <w:bCs/>
          <w:color w:val="000000"/>
          <w:sz w:val="24"/>
          <w:szCs w:val="24"/>
          <w:highlight w:val="none"/>
        </w:rPr>
        <w:t xml:space="preserve">的近</w:t>
      </w:r>
      <w:r>
        <w:rPr>
          <w:rFonts w:hint="eastAsia" w:ascii="宋体" w:hAnsi="宋体" w:eastAsia="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rPr>
        <w:t xml:space="preserve">中任意一个月份</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的社保缴费证明</w:t>
      </w:r>
      <w:r>
        <w:rPr>
          <w:rFonts w:hint="eastAsia" w:ascii="宋体" w:hAnsi="宋体" w:eastAsia="宋体" w:cs="宋体"/>
          <w:bCs/>
          <w:color w:val="000000"/>
          <w:sz w:val="24"/>
          <w:szCs w:val="24"/>
          <w:highlight w:val="none"/>
          <w:lang w:val="en-US" w:eastAsia="zh-CN"/>
        </w:rPr>
        <w:t xml:space="preserve">或劳动合同或退休返聘合同等</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上述材料扫描件上传系统并签章，不提供或提供不符合要求均不得分。</w:t>
      </w:r>
      <w:r>
        <w:rPr>
          <w:rFonts w:hint="eastAsia" w:ascii="宋体" w:hAnsi="宋体" w:cs="宋体"/>
          <w:bCs/>
          <w:color w:val="000000"/>
          <w:sz w:val="24"/>
          <w:szCs w:val="24"/>
          <w:highlight w:val="none"/>
          <w:lang w:val="en-US" w:eastAsia="zh-CN"/>
        </w:rPr>
      </w:r>
      <w:r/>
    </w:p>
    <w:p>
      <w:pPr>
        <w:pStyle w:val="742"/>
        <w:numPr>
          <w:ilvl w:val="0"/>
          <w:numId w:val="0"/>
        </w:numPr>
        <w:keepLines w:val="0"/>
        <w:keepNext w:val="0"/>
        <w:pageBreakBefore w:val="0"/>
        <w:spacing w:line="360" w:lineRule="auto"/>
        <w:widowControl w:val="off"/>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（4）设备条件（3分）</w:t>
      </w:r>
      <w:r>
        <w:rPr>
          <w:rFonts w:hint="eastAsia" w:cs="Times New Roman"/>
          <w:color w:val="000000"/>
          <w:sz w:val="24"/>
          <w:szCs w:val="24"/>
          <w:highlight w:val="none"/>
          <w:lang w:val="en-US" w:eastAsia="zh-CN"/>
        </w:rPr>
      </w:r>
      <w:r/>
    </w:p>
    <w:p>
      <w:pPr>
        <w:pStyle w:val="742"/>
        <w:numPr>
          <w:ilvl w:val="0"/>
          <w:numId w:val="0"/>
        </w:numPr>
        <w:ind w:firstLine="480"/>
        <w:keepLines w:val="0"/>
        <w:keepNext w:val="0"/>
        <w:pageBreakBefore w:val="0"/>
        <w:spacing w:line="360" w:lineRule="auto"/>
        <w:widowControl w:val="off"/>
        <w:rPr>
          <w:rFonts w:hint="eastAsia" w:hAnsi="Times New Roman" w:cs="Times New Roman"/>
          <w:color w:val="000000"/>
          <w:sz w:val="24"/>
          <w:szCs w:val="24"/>
          <w:highlight w:val="none"/>
          <w:lang w:val="en-US" w:eastAsia="zh-CN"/>
        </w:rPr>
      </w:pPr>
      <w:r>
        <w:rPr>
          <w:color w:val="000000"/>
          <w:sz w:val="24"/>
          <w:szCs w:val="24"/>
          <w:highlight w:val="none"/>
          <w:lang w:val="en-US" w:eastAsia="zh-CN"/>
        </w:rPr>
        <w:t xml:space="preserve">投标单位</w:t>
      </w:r>
      <w:r>
        <w:rPr>
          <w:rFonts w:hint="eastAsia"/>
          <w:color w:val="000000"/>
          <w:sz w:val="24"/>
          <w:szCs w:val="24"/>
          <w:highlight w:val="none"/>
          <w:lang w:val="en-US" w:eastAsia="zh-CN"/>
        </w:rPr>
        <w:t xml:space="preserve">或所投产品的厂家</w:t>
      </w:r>
      <w:r>
        <w:rPr>
          <w:color w:val="000000"/>
          <w:sz w:val="24"/>
          <w:szCs w:val="24"/>
          <w:highlight w:val="none"/>
          <w:lang w:val="en-US" w:eastAsia="zh-CN"/>
        </w:rPr>
        <w:t xml:space="preserve">拥有独立的质量检验中心</w:t>
      </w:r>
      <w:r>
        <w:rPr>
          <w:rFonts w:hint="eastAsia"/>
          <w:color w:val="000000"/>
          <w:sz w:val="24"/>
          <w:szCs w:val="24"/>
          <w:highlight w:val="none"/>
          <w:lang w:val="en-US" w:eastAsia="zh-CN"/>
        </w:rPr>
        <w:t xml:space="preserve">的</w:t>
      </w:r>
      <w:r>
        <w:rPr>
          <w:color w:val="000000"/>
          <w:sz w:val="24"/>
          <w:szCs w:val="24"/>
          <w:highlight w:val="none"/>
          <w:lang w:val="en-US" w:eastAsia="zh-CN"/>
        </w:rPr>
        <w:t xml:space="preserve">，</w:t>
      </w:r>
      <w:r>
        <w:rPr>
          <w:rFonts w:hint="eastAsia"/>
          <w:color w:val="000000"/>
          <w:sz w:val="24"/>
          <w:szCs w:val="24"/>
          <w:highlight w:val="none"/>
          <w:lang w:val="en-US" w:eastAsia="zh-CN"/>
        </w:rPr>
        <w:t xml:space="preserve">提供相应证明材料得0.5分。投标供应商或所投产品的厂家</w:t>
      </w:r>
      <w:r>
        <w:rPr>
          <w:color w:val="000000"/>
          <w:sz w:val="24"/>
          <w:szCs w:val="24"/>
          <w:highlight w:val="none"/>
          <w:lang w:val="en-US" w:eastAsia="zh-CN"/>
        </w:rPr>
        <w:t xml:space="preserve">配备相对应的质检设备：高效液相色谱仪，三重四极杆液质联用仪、三重四级杆气质联用仪，紫外可见分光光度</w:t>
      </w:r>
      <w:r>
        <w:rPr>
          <w:rFonts w:hAnsi="Times New Roman" w:cs="Times New Roman"/>
          <w:color w:val="000000"/>
          <w:sz w:val="24"/>
          <w:szCs w:val="24"/>
          <w:highlight w:val="none"/>
          <w:lang w:val="en-US" w:eastAsia="zh-CN"/>
        </w:rPr>
        <w:t xml:space="preserve">计，普析原子吸收分光光度计</w:t>
      </w:r>
      <w:r>
        <w:rPr>
          <w:rFonts w:hint="eastAsia" w:hAnsi="Times New Roman" w:cs="Times New Roman"/>
          <w:color w:val="000000"/>
          <w:sz w:val="24"/>
          <w:szCs w:val="24"/>
          <w:highlight w:val="none"/>
          <w:lang w:val="en-US" w:eastAsia="zh-CN"/>
        </w:rPr>
        <w:t xml:space="preserve">，有一样得0.5分，最高得2</w:t>
      </w:r>
      <w:r>
        <w:rPr>
          <w:rFonts w:hint="eastAsia" w:cs="Times New Roman"/>
          <w:color w:val="000000"/>
          <w:sz w:val="24"/>
          <w:szCs w:val="24"/>
          <w:highlight w:val="none"/>
          <w:lang w:val="en-US" w:eastAsia="zh-CN"/>
        </w:rPr>
        <w:t xml:space="preserve">.5</w:t>
      </w:r>
      <w:r>
        <w:rPr>
          <w:rFonts w:hint="eastAsia" w:hAnsi="Times New Roman" w:cs="Times New Roman"/>
          <w:color w:val="000000"/>
          <w:sz w:val="24"/>
          <w:szCs w:val="24"/>
          <w:highlight w:val="none"/>
          <w:lang w:val="en-US" w:eastAsia="zh-CN"/>
        </w:rPr>
        <w:t xml:space="preserve">分。设备如为自有的，需提供设备真实有效的购买发票原件扫描件上传系统并签章；如为租赁的，需提供</w:t>
      </w:r>
      <w:r>
        <w:rPr>
          <w:rFonts w:hAnsi="Times New Roman" w:cs="Times New Roman"/>
          <w:color w:val="000000"/>
          <w:sz w:val="24"/>
          <w:szCs w:val="24"/>
          <w:highlight w:val="none"/>
          <w:lang w:val="en-US" w:eastAsia="zh-CN"/>
        </w:rPr>
        <w:t xml:space="preserve">出租方购买设备的原始发票</w:t>
      </w:r>
      <w:r>
        <w:rPr>
          <w:rFonts w:hint="eastAsia" w:hAnsi="Times New Roman" w:cs="Times New Roman"/>
          <w:color w:val="000000"/>
          <w:sz w:val="24"/>
          <w:szCs w:val="24"/>
          <w:highlight w:val="none"/>
          <w:lang w:val="en-US" w:eastAsia="zh-CN"/>
        </w:rPr>
        <w:t xml:space="preserve">（</w:t>
      </w:r>
      <w:r>
        <w:rPr>
          <w:rFonts w:hAnsi="Times New Roman" w:cs="Times New Roman"/>
          <w:color w:val="000000"/>
          <w:sz w:val="24"/>
          <w:szCs w:val="24"/>
          <w:highlight w:val="none"/>
          <w:lang w:val="en-US" w:eastAsia="zh-CN"/>
        </w:rPr>
        <w:t xml:space="preserve">设备购买方和出租方名称一致</w:t>
      </w:r>
      <w:r>
        <w:rPr>
          <w:rFonts w:hint="eastAsia" w:hAnsi="Times New Roman" w:cs="Times New Roman"/>
          <w:color w:val="000000"/>
          <w:sz w:val="24"/>
          <w:szCs w:val="24"/>
          <w:highlight w:val="none"/>
          <w:lang w:val="en-US" w:eastAsia="zh-CN"/>
        </w:rPr>
        <w:t xml:space="preserve">）及</w:t>
      </w:r>
      <w:r>
        <w:rPr>
          <w:rFonts w:hAnsi="Times New Roman" w:cs="Times New Roman"/>
          <w:color w:val="000000"/>
          <w:sz w:val="24"/>
          <w:szCs w:val="24"/>
          <w:highlight w:val="none"/>
          <w:lang w:val="en-US" w:eastAsia="zh-CN"/>
        </w:rPr>
        <w:t xml:space="preserve">租赁合同</w:t>
      </w:r>
      <w:r>
        <w:rPr>
          <w:rFonts w:hint="eastAsia" w:hAnsi="Times New Roman" w:cs="Times New Roman"/>
          <w:color w:val="000000"/>
          <w:sz w:val="24"/>
          <w:szCs w:val="24"/>
          <w:highlight w:val="none"/>
          <w:lang w:val="en-US" w:eastAsia="zh-CN"/>
        </w:rPr>
        <w:t xml:space="preserve">（</w:t>
      </w:r>
      <w:r>
        <w:rPr>
          <w:rFonts w:hAnsi="Times New Roman" w:cs="Times New Roman"/>
          <w:color w:val="000000"/>
          <w:sz w:val="24"/>
          <w:szCs w:val="24"/>
          <w:highlight w:val="none"/>
          <w:lang w:val="en-US" w:eastAsia="zh-CN"/>
        </w:rPr>
        <w:t xml:space="preserve">租赁期涵盖服务期</w:t>
      </w:r>
      <w:r>
        <w:rPr>
          <w:rFonts w:hint="eastAsia" w:hAnsi="Times New Roman" w:cs="Times New Roman"/>
          <w:color w:val="000000"/>
          <w:sz w:val="24"/>
          <w:szCs w:val="24"/>
          <w:highlight w:val="none"/>
          <w:lang w:val="en-US" w:eastAsia="zh-CN"/>
        </w:rPr>
        <w:t xml:space="preserve">）原件扫描件上传系统并签章。</w:t>
      </w:r>
      <w:r>
        <w:rPr>
          <w:rFonts w:hint="eastAsia" w:hAnsi="Times New Roman" w:cs="Times New Roman"/>
          <w:color w:val="000000"/>
          <w:sz w:val="24"/>
          <w:szCs w:val="24"/>
          <w:highlight w:val="none"/>
          <w:lang w:val="en-US" w:eastAsia="zh-CN"/>
        </w:rPr>
      </w:r>
      <w:r/>
    </w:p>
    <w:p>
      <w:pPr>
        <w:pStyle w:val="742"/>
        <w:numPr>
          <w:ilvl w:val="0"/>
          <w:numId w:val="0"/>
        </w:numPr>
        <w:keepLines w:val="0"/>
        <w:keepNext w:val="0"/>
        <w:pageBreakBefore w:val="0"/>
        <w:spacing w:line="360" w:lineRule="auto"/>
        <w:widowControl w:val="off"/>
        <w:rPr>
          <w:rFonts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（5）</w:t>
      </w:r>
      <w:r>
        <w:rPr>
          <w:rFonts w:hAnsi="Times New Roman" w:cs="Times New Roman"/>
          <w:color w:val="000000"/>
          <w:sz w:val="24"/>
          <w:szCs w:val="24"/>
          <w:highlight w:val="none"/>
          <w:lang w:val="en-US" w:eastAsia="zh-CN"/>
        </w:rPr>
        <w:t xml:space="preserve">投标供应商及饮片生产企业质量抽检(</w:t>
      </w:r>
      <w:r>
        <w:rPr>
          <w:rFonts w:hint="eastAsia" w:cs="Times New Roman"/>
          <w:color w:val="000000"/>
          <w:sz w:val="24"/>
          <w:szCs w:val="24"/>
          <w:highlight w:val="none"/>
          <w:lang w:val="en-US" w:eastAsia="zh-CN"/>
        </w:rPr>
        <w:t xml:space="preserve">2</w:t>
      </w:r>
      <w:r>
        <w:rPr>
          <w:rFonts w:hAnsi="Times New Roman" w:cs="Times New Roman"/>
          <w:color w:val="000000"/>
          <w:sz w:val="24"/>
          <w:szCs w:val="24"/>
          <w:highlight w:val="none"/>
          <w:lang w:val="en-US" w:eastAsia="zh-CN"/>
        </w:rPr>
        <w:t xml:space="preserve">分)</w:t>
      </w:r>
      <w:r>
        <w:rPr>
          <w:rFonts w:hAnsi="Times New Roman" w:cs="Times New Roman"/>
          <w:color w:val="000000"/>
          <w:sz w:val="24"/>
          <w:szCs w:val="24"/>
          <w:highlight w:val="none"/>
          <w:lang w:val="en-US" w:eastAsia="zh-CN"/>
        </w:rPr>
      </w:r>
      <w:r/>
    </w:p>
    <w:p>
      <w:pPr>
        <w:pStyle w:val="730"/>
        <w:ind w:firstLine="480"/>
        <w:jc w:val="left"/>
        <w:keepLines w:val="0"/>
        <w:keepNext w:val="0"/>
        <w:pageBreakBefore w:val="0"/>
        <w:spacing w:line="360" w:lineRule="auto"/>
        <w:widowControl w:val="off"/>
        <w:rPr>
          <w:rFonts w:hAnsi="Times New Roman" w:cs="Times New Roman"/>
          <w:color w:val="000000"/>
          <w:sz w:val="24"/>
          <w:szCs w:val="24"/>
          <w:highlight w:val="none"/>
          <w:lang w:val="en-US" w:eastAsia="zh-CN"/>
        </w:rPr>
        <w:outlineLvl w:val="0"/>
      </w:pPr>
      <w:r>
        <w:rPr>
          <w:rFonts w:hAnsi="Times New Roman" w:cs="Times New Roman"/>
          <w:color w:val="000000"/>
          <w:sz w:val="24"/>
          <w:szCs w:val="24"/>
          <w:highlight w:val="none"/>
          <w:lang w:val="en-US" w:eastAsia="zh-CN"/>
        </w:rPr>
        <w:t xml:space="preserve">2023年-2025年国家药</w:t>
      </w:r>
      <w:r>
        <w:rPr>
          <w:rFonts w:hint="eastAsia" w:hAnsi="Times New Roman" w:cs="Times New Roman"/>
          <w:color w:val="000000"/>
          <w:sz w:val="24"/>
          <w:szCs w:val="24"/>
          <w:highlight w:val="none"/>
          <w:lang w:val="en-US" w:eastAsia="zh-CN"/>
        </w:rPr>
        <w:t xml:space="preserve">品监督管理局</w:t>
      </w:r>
      <w:r>
        <w:rPr>
          <w:rFonts w:hAnsi="Times New Roman" w:cs="Times New Roman"/>
          <w:color w:val="000000"/>
          <w:sz w:val="24"/>
          <w:szCs w:val="24"/>
          <w:highlight w:val="none"/>
          <w:lang w:val="en-US" w:eastAsia="zh-CN"/>
        </w:rPr>
        <w:t xml:space="preserve">官网</w:t>
      </w:r>
      <w:r>
        <w:rPr>
          <w:rFonts w:hint="eastAsia" w:hAnsi="Times New Roman" w:cs="Times New Roman"/>
          <w:color w:val="000000"/>
          <w:sz w:val="24"/>
          <w:szCs w:val="24"/>
          <w:highlight w:val="none"/>
          <w:lang w:val="en-US" w:eastAsia="zh-CN"/>
        </w:rPr>
        <w:t xml:space="preserve">、江苏省</w:t>
      </w:r>
      <w:r>
        <w:rPr>
          <w:rFonts w:hAnsi="Times New Roman" w:cs="Times New Roman"/>
          <w:color w:val="000000"/>
          <w:sz w:val="24"/>
          <w:szCs w:val="24"/>
          <w:highlight w:val="none"/>
          <w:lang w:val="en-US" w:eastAsia="zh-CN"/>
        </w:rPr>
        <w:t xml:space="preserve">药</w:t>
      </w:r>
      <w:r>
        <w:rPr>
          <w:rFonts w:hint="eastAsia" w:hAnsi="Times New Roman" w:cs="Times New Roman"/>
          <w:color w:val="000000"/>
          <w:sz w:val="24"/>
          <w:szCs w:val="24"/>
          <w:highlight w:val="none"/>
          <w:lang w:val="en-US" w:eastAsia="zh-CN"/>
        </w:rPr>
        <w:t xml:space="preserve">品监督管理局</w:t>
      </w:r>
      <w:r>
        <w:rPr>
          <w:rFonts w:hAnsi="Times New Roman" w:cs="Times New Roman"/>
          <w:color w:val="000000"/>
          <w:sz w:val="24"/>
          <w:szCs w:val="24"/>
          <w:highlight w:val="none"/>
          <w:lang w:val="en-US" w:eastAsia="zh-CN"/>
        </w:rPr>
        <w:t xml:space="preserve">官网质量公告上榜条数(关于药品不符合规定的通告查询地址:</w:t>
      </w:r>
      <w:r>
        <w:rPr>
          <w:rFonts w:hint="eastAsia" w:hAnsi="Times New Roman" w:cs="Times New Roman"/>
          <w:color w:val="000000"/>
          <w:sz w:val="24"/>
          <w:szCs w:val="24"/>
          <w:highlight w:val="none"/>
          <w:lang w:val="en-US" w:eastAsia="zh-CN"/>
        </w:rPr>
        <w:t xml:space="preserve">1.</w:t>
      </w:r>
      <w:r>
        <w:rPr>
          <w:rFonts w:hAnsi="Times New Roman" w:cs="Times New Roman"/>
          <w:color w:val="000000"/>
          <w:sz w:val="24"/>
          <w:szCs w:val="24"/>
          <w:highlight w:val="none"/>
          <w:lang w:val="en-US" w:eastAsia="zh-CN"/>
        </w:rPr>
        <w:t xml:space="preserve">国家药</w:t>
      </w:r>
      <w:r>
        <w:rPr>
          <w:rFonts w:hint="eastAsia" w:hAnsi="Times New Roman" w:cs="Times New Roman"/>
          <w:color w:val="000000"/>
          <w:sz w:val="24"/>
          <w:szCs w:val="24"/>
          <w:highlight w:val="none"/>
          <w:lang w:val="en-US" w:eastAsia="zh-CN"/>
        </w:rPr>
        <w:t xml:space="preserve">品监督管理局</w:t>
      </w:r>
      <w:r>
        <w:rPr>
          <w:rFonts w:hAnsi="Times New Roman" w:cs="Times New Roman"/>
          <w:color w:val="000000"/>
          <w:sz w:val="24"/>
          <w:szCs w:val="24"/>
          <w:highlight w:val="none"/>
          <w:lang w:val="en-US" w:eastAsia="zh-CN"/>
        </w:rPr>
        <w:t xml:space="preserve">网址为:https://www.nmpa.gov.cn/xxgk/ggtg/ypggtg/ypchj/index.html</w:t>
      </w:r>
      <w:r>
        <w:rPr>
          <w:rFonts w:hint="eastAsia" w:hAnsi="Times New Roman" w:cs="Times New Roman"/>
          <w:color w:val="000000"/>
          <w:sz w:val="24"/>
          <w:szCs w:val="24"/>
          <w:highlight w:val="none"/>
          <w:lang w:val="en-US" w:eastAsia="zh-CN"/>
        </w:rPr>
        <w:t xml:space="preserve">。2.江苏省</w:t>
      </w:r>
      <w:r>
        <w:rPr>
          <w:rFonts w:hAnsi="Times New Roman" w:cs="Times New Roman"/>
          <w:color w:val="000000"/>
          <w:sz w:val="24"/>
          <w:szCs w:val="24"/>
          <w:highlight w:val="none"/>
          <w:lang w:val="en-US" w:eastAsia="zh-CN"/>
        </w:rPr>
        <w:t xml:space="preserve">药</w:t>
      </w:r>
      <w:r>
        <w:rPr>
          <w:rFonts w:hint="eastAsia" w:hAnsi="Times New Roman" w:cs="Times New Roman"/>
          <w:color w:val="000000"/>
          <w:sz w:val="24"/>
          <w:szCs w:val="24"/>
          <w:highlight w:val="none"/>
          <w:lang w:val="en-US" w:eastAsia="zh-CN"/>
        </w:rPr>
        <w:t xml:space="preserve">品监督管理局网址为：https://da.jiangsu.gov.cn/col/col84623/index.html）</w:t>
      </w:r>
      <w:r>
        <w:rPr>
          <w:rFonts w:hAnsi="Times New Roman" w:cs="Times New Roman"/>
          <w:color w:val="000000"/>
          <w:sz w:val="24"/>
          <w:szCs w:val="24"/>
          <w:highlight w:val="none"/>
          <w:lang w:val="en-US" w:eastAsia="zh-CN"/>
        </w:rPr>
        <w:t xml:space="preserve">,</w:t>
      </w:r>
      <w:r>
        <w:rPr>
          <w:rFonts w:hint="eastAsia" w:hAnsi="Times New Roman" w:cs="Times New Roman"/>
          <w:color w:val="000000"/>
          <w:sz w:val="24"/>
          <w:szCs w:val="24"/>
          <w:highlight w:val="none"/>
          <w:lang w:val="en-US" w:eastAsia="zh-CN"/>
        </w:rPr>
        <w:t xml:space="preserve">（</w:t>
      </w:r>
      <w:r>
        <w:rPr>
          <w:rFonts w:hAnsi="Times New Roman" w:cs="Times New Roman"/>
          <w:color w:val="000000"/>
          <w:sz w:val="24"/>
          <w:szCs w:val="24"/>
          <w:highlight w:val="none"/>
          <w:lang w:val="en-US" w:eastAsia="zh-CN"/>
        </w:rPr>
        <w:t xml:space="preserve">投标供应商和饮片生产企业)每上榜一次扣</w:t>
      </w:r>
      <w:r>
        <w:rPr>
          <w:rFonts w:hint="eastAsia" w:cs="Times New Roman"/>
          <w:color w:val="000000"/>
          <w:sz w:val="24"/>
          <w:szCs w:val="24"/>
          <w:highlight w:val="none"/>
          <w:lang w:val="en-US" w:eastAsia="zh-CN"/>
        </w:rPr>
        <w:t xml:space="preserve">1</w:t>
      </w:r>
      <w:r>
        <w:rPr>
          <w:rFonts w:hAnsi="Times New Roman" w:cs="Times New Roman"/>
          <w:color w:val="000000"/>
          <w:sz w:val="24"/>
          <w:szCs w:val="24"/>
          <w:highlight w:val="none"/>
          <w:lang w:val="en-US" w:eastAsia="zh-CN"/>
        </w:rPr>
        <w:t xml:space="preserve">分，扣完为止。供应商(含饮片生产企业)</w:t>
      </w:r>
      <w:r>
        <w:rPr>
          <w:rFonts w:hint="eastAsia" w:hAnsi="Times New Roman" w:cs="Times New Roman"/>
          <w:color w:val="000000"/>
          <w:sz w:val="24"/>
          <w:szCs w:val="24"/>
          <w:highlight w:val="none"/>
          <w:lang w:val="en-US" w:eastAsia="zh-CN"/>
        </w:rPr>
        <w:t xml:space="preserve">需</w:t>
      </w:r>
      <w:r>
        <w:rPr>
          <w:rFonts w:hAnsi="Times New Roman" w:cs="Times New Roman"/>
          <w:color w:val="000000"/>
          <w:sz w:val="24"/>
          <w:szCs w:val="24"/>
          <w:highlight w:val="none"/>
          <w:lang w:val="en-US" w:eastAsia="zh-CN"/>
        </w:rPr>
        <w:t xml:space="preserve">自行注明2023年-2025年上榜次数</w:t>
      </w:r>
      <w:r>
        <w:rPr>
          <w:rFonts w:hint="eastAsia" w:cs="Times New Roman"/>
          <w:color w:val="000000"/>
          <w:sz w:val="24"/>
          <w:szCs w:val="24"/>
          <w:highlight w:val="none"/>
          <w:lang w:val="en-US" w:eastAsia="zh-CN"/>
        </w:rPr>
        <w:t xml:space="preserve">并承诺（承诺书格式自拟）</w:t>
      </w:r>
      <w:r>
        <w:rPr>
          <w:rFonts w:hint="eastAsia" w:hAnsi="Times New Roman" w:cs="Times New Roman"/>
          <w:color w:val="000000"/>
          <w:sz w:val="24"/>
          <w:szCs w:val="24"/>
          <w:highlight w:val="none"/>
          <w:lang w:val="en-US" w:eastAsia="zh-CN"/>
        </w:rPr>
        <w:t xml:space="preserve">上传系统并签章</w:t>
      </w:r>
      <w:r>
        <w:rPr>
          <w:rFonts w:hint="eastAsia" w:cs="Times New Roman"/>
          <w:color w:val="000000"/>
          <w:sz w:val="24"/>
          <w:szCs w:val="24"/>
          <w:highlight w:val="none"/>
          <w:lang w:val="en-US" w:eastAsia="zh-CN"/>
        </w:rPr>
        <w:t xml:space="preserve">，不提供或提供不符合要求本项不得分。</w:t>
      </w:r>
      <w:r>
        <w:rPr>
          <w:rFonts w:hint="eastAsia" w:hAnsi="Times New Roman" w:cs="Times New Roman"/>
          <w:color w:val="000000"/>
          <w:sz w:val="24"/>
          <w:szCs w:val="24"/>
          <w:highlight w:val="none"/>
          <w:lang w:val="en-US" w:eastAsia="zh-CN"/>
        </w:rPr>
        <w:t xml:space="preserve">（</w:t>
      </w:r>
      <w:r>
        <w:rPr>
          <w:rFonts w:hAnsi="Times New Roman" w:cs="Times New Roman"/>
          <w:color w:val="000000"/>
          <w:sz w:val="24"/>
          <w:szCs w:val="24"/>
          <w:highlight w:val="none"/>
          <w:lang w:val="en-US" w:eastAsia="zh-CN"/>
        </w:rPr>
        <w:t xml:space="preserve">如发现提供虚假材料则取消中标资格）</w:t>
      </w:r>
      <w:r>
        <w:rPr>
          <w:rFonts w:hAnsi="Times New Roman" w:cs="Times New Roman"/>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（6）应急对接时间承诺（3分）</w:t>
      </w:r>
      <w:r>
        <w:rPr>
          <w:rFonts w:hint="eastAsia" w:ascii="宋体" w:hAnsi="宋体" w:eastAsia="宋体" w:cs="宋体"/>
          <w:b w:val="0"/>
          <w:bCs w:val="0"/>
          <w:color w:val="000000"/>
          <w:sz w:val="24"/>
          <w:szCs w:val="24"/>
          <w:highlight w:val="none"/>
          <w:lang w:val="en-US" w:eastAsia="zh-CN"/>
        </w:rPr>
      </w:r>
      <w:r/>
    </w:p>
    <w:p>
      <w:pPr>
        <w:pStyle w:val="730"/>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承诺在接到采购人应急需求对接通知后，到达采购人（江苏省无锡市梁溪区黄巷街道龙塘西苑1号）处时间在30分钟之内（含）的得3分，时间在30-60分钟（含）的得2分，时间在60-90分钟（含）的得1分，其余不得分（承诺书格式自拟）提供承诺书和在承诺时间到达地点的证明材料如电子地图截图等，两者缺一不可，不提供或提供不符合要求均不得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（7）仓储条件承诺（2分）</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应有保障药品质量安全的仓储条件</w:t>
      </w:r>
      <w:r>
        <w:rPr>
          <w:rFonts w:hint="eastAsia" w:ascii="宋体" w:hAnsi="宋体" w:eastAsia="宋体" w:cs="宋体"/>
          <w:bCs/>
          <w:color w:val="000000"/>
          <w:sz w:val="24"/>
          <w:szCs w:val="24"/>
          <w:highlight w:val="none"/>
          <w:lang w:val="en-US" w:eastAsia="zh-CN"/>
        </w:rPr>
        <w:t xml:space="preserve">，配备独立仓库的得2分（投标时提供仓库实地照片、房产证或租赁合同</w:t>
      </w:r>
      <w:r>
        <w:rPr>
          <w:rFonts w:hint="eastAsia" w:ascii="宋体" w:hAnsi="宋体" w:eastAsia="宋体" w:cs="宋体"/>
          <w:color w:val="000000"/>
          <w:sz w:val="24"/>
          <w:szCs w:val="24"/>
          <w:highlight w:val="none"/>
        </w:rPr>
        <w:t xml:space="preserve">原件</w:t>
      </w:r>
      <w:r>
        <w:rPr>
          <w:rFonts w:hint="eastAsia" w:ascii="宋体" w:hAnsi="宋体" w:eastAsia="宋体" w:cs="宋体"/>
          <w:color w:val="000000"/>
          <w:sz w:val="24"/>
          <w:szCs w:val="24"/>
          <w:highlight w:val="none"/>
          <w:lang w:val="en-US" w:eastAsia="zh-CN"/>
        </w:rPr>
        <w:t xml:space="preserve">扫描件上传系统并签章，未提供的可以承诺项目在中标后签订合同前为本项目配备独立仓库</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承诺书格式自拟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证明材料及承诺书均未提供</w:t>
      </w:r>
      <w:r>
        <w:rPr>
          <w:rFonts w:hint="eastAsia" w:ascii="宋体" w:hAnsi="宋体" w:eastAsia="宋体" w:cs="宋体"/>
          <w:bCs/>
          <w:color w:val="000000"/>
          <w:sz w:val="24"/>
          <w:szCs w:val="24"/>
          <w:highlight w:val="none"/>
        </w:rPr>
        <w:t xml:space="preserve">或提供不符合要求均不得分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0"/>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制作车间（2分）</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具备毒性中药饮片制作车间的得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投标人具备发酵中药饮片制作车间的得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提供车间图片及成品证明材料</w:t>
      </w:r>
      <w:r>
        <w:rPr>
          <w:rFonts w:hint="eastAsia" w:ascii="宋体" w:hAnsi="宋体" w:eastAsia="宋体" w:cs="宋体"/>
          <w:color w:val="000000"/>
          <w:sz w:val="24"/>
          <w:szCs w:val="24"/>
          <w:highlight w:val="none"/>
        </w:rPr>
        <w:t xml:space="preserve">原件</w:t>
      </w:r>
      <w:r>
        <w:rPr>
          <w:rFonts w:hint="eastAsia" w:ascii="宋体" w:hAnsi="宋体" w:eastAsia="宋体" w:cs="宋体"/>
          <w:color w:val="000000"/>
          <w:sz w:val="24"/>
          <w:szCs w:val="24"/>
          <w:highlight w:val="none"/>
          <w:lang w:val="en-US" w:eastAsia="zh-CN"/>
        </w:rPr>
        <w:t xml:space="preserve">扫描件上传系统并签章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不提供或提供不符合要求均不得分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730"/>
        <w:ind w:firstLine="480"/>
        <w:keepLines w:val="0"/>
        <w:keepNext w:val="0"/>
        <w:pageBreakBefore w:val="0"/>
        <w:spacing w:line="360" w:lineRule="auto"/>
        <w:widowControl w:val="off"/>
        <w:rPr>
          <w:color w:val="000000"/>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留样区（1分）</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配置留样</w:t>
      </w:r>
      <w:r>
        <w:rPr>
          <w:rFonts w:hint="eastAsia" w:ascii="宋体" w:hAnsi="宋体" w:eastAsia="宋体" w:cs="宋体"/>
          <w:bCs/>
          <w:color w:val="000000"/>
          <w:sz w:val="24"/>
          <w:szCs w:val="24"/>
          <w:highlight w:val="none"/>
          <w:lang w:val="en-US" w:eastAsia="zh-CN"/>
        </w:rPr>
        <w:t xml:space="preserve">区域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有饮片留样</w:t>
      </w:r>
      <w:r>
        <w:rPr>
          <w:rFonts w:hint="eastAsia" w:ascii="宋体" w:hAnsi="宋体" w:eastAsia="宋体" w:cs="宋体"/>
          <w:bCs/>
          <w:color w:val="000000"/>
          <w:sz w:val="24"/>
          <w:szCs w:val="24"/>
          <w:highlight w:val="none"/>
          <w:lang w:val="en-US" w:eastAsia="zh-CN"/>
        </w:rPr>
        <w:t xml:space="preserve">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代配饮片留样满1月得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有代煎产品留样</w:t>
      </w:r>
      <w:r>
        <w:rPr>
          <w:rFonts w:hint="eastAsia" w:ascii="宋体" w:hAnsi="宋体" w:eastAsia="宋体" w:cs="宋体"/>
          <w:bCs/>
          <w:color w:val="000000"/>
          <w:sz w:val="24"/>
          <w:szCs w:val="24"/>
          <w:highlight w:val="none"/>
          <w:lang w:val="en-US" w:eastAsia="zh-CN"/>
        </w:rPr>
        <w:t xml:space="preserve">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代煎产品留样满1月得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（投标时提供留样区照片及相关证明材料</w:t>
      </w:r>
      <w:r>
        <w:rPr>
          <w:rFonts w:hint="eastAsia" w:ascii="宋体" w:hAnsi="宋体" w:eastAsia="宋体" w:cs="宋体"/>
          <w:color w:val="000000"/>
          <w:sz w:val="24"/>
          <w:szCs w:val="24"/>
          <w:highlight w:val="none"/>
        </w:rPr>
        <w:t xml:space="preserve">原件</w:t>
      </w:r>
      <w:r>
        <w:rPr>
          <w:rFonts w:hint="eastAsia" w:ascii="宋体" w:hAnsi="宋体" w:eastAsia="宋体" w:cs="宋体"/>
          <w:color w:val="000000"/>
          <w:sz w:val="24"/>
          <w:szCs w:val="24"/>
          <w:highlight w:val="none"/>
          <w:lang w:val="en-US" w:eastAsia="zh-CN"/>
        </w:rPr>
        <w:t xml:space="preserve">扫描件上传系统并签章，未提供</w:t>
      </w:r>
      <w:r>
        <w:rPr>
          <w:rFonts w:hint="eastAsia" w:ascii="宋体" w:hAnsi="宋体" w:eastAsia="宋体" w:cs="宋体"/>
          <w:bCs/>
          <w:color w:val="000000"/>
          <w:sz w:val="24"/>
          <w:szCs w:val="24"/>
          <w:highlight w:val="none"/>
        </w:rPr>
        <w:t xml:space="preserve">或提供不符合要求均不得分</w:t>
      </w:r>
      <w:r>
        <w:rPr>
          <w:rFonts w:hint="eastAsia" w:ascii="宋体" w:hAnsi="宋体" w:eastAsia="宋体" w:cs="宋体"/>
          <w:bCs/>
          <w:color w:val="000000"/>
          <w:sz w:val="24"/>
          <w:szCs w:val="24"/>
          <w:highlight w:val="none"/>
          <w:lang w:eastAsia="zh-CN"/>
        </w:rPr>
        <w:t xml:space="preserve">）。</w:t>
      </w:r>
      <w:r>
        <w:rPr>
          <w:color w:val="000000"/>
          <w:highlight w:val="none"/>
        </w:rPr>
      </w:r>
      <w:r/>
    </w:p>
    <w:p>
      <w:pPr>
        <w:pStyle w:val="730"/>
        <w:ind w:firstLine="482"/>
        <w:keepLines w:val="0"/>
        <w:keepNext w:val="0"/>
        <w:pageBreakBefore w:val="0"/>
        <w:spacing w:line="360" w:lineRule="auto"/>
        <w:widowControl w:val="off"/>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三、技术标部分（满分</w:t>
      </w:r>
      <w:r>
        <w:rPr>
          <w:rFonts w:hint="eastAsia" w:ascii="宋体" w:hAnsi="宋体" w:eastAsia="宋体" w:cs="宋体"/>
          <w:b/>
          <w:color w:val="000000"/>
          <w:sz w:val="24"/>
          <w:szCs w:val="24"/>
          <w:highlight w:val="none"/>
          <w:lang w:val="en-US" w:eastAsia="zh-CN"/>
        </w:rPr>
        <w:t xml:space="preserve">50</w:t>
      </w:r>
      <w:r>
        <w:rPr>
          <w:rFonts w:hint="eastAsia" w:ascii="宋体" w:hAnsi="宋体" w:eastAsia="宋体" w:cs="宋体"/>
          <w:b/>
          <w:color w:val="000000"/>
          <w:sz w:val="24"/>
          <w:szCs w:val="24"/>
          <w:highlight w:val="none"/>
        </w:rPr>
        <w:t xml:space="preserve">分）：</w:t>
      </w:r>
      <w:r>
        <w:rPr>
          <w:rFonts w:ascii="宋体" w:hAnsi="宋体" w:eastAsia="宋体" w:cs="宋体"/>
          <w:b/>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质量控制方案（</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根据投标供应商针对本项目的全程质量控制管理方案进行评审，全程质量控制管理方案包括且不限于中药饮片质量控制、代加工服务质量控制、信息管理质量控制等措施和方案。</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针对本项目的方案详尽且完善，中药饮片质量控制、代加工服务质量控制、信息管理质量控制等措施和方案均得到有效体现，且具备高度的可操作性和实施效果得5分；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针对本项目的方案完整度高，控制</w:t>
      </w:r>
      <w:r>
        <w:rPr>
          <w:rFonts w:hint="eastAsia" w:ascii="宋体" w:hAnsi="宋体" w:eastAsia="宋体" w:cs="宋体"/>
          <w:b w:val="0"/>
          <w:bCs w:val="0"/>
          <w:color w:val="000000"/>
          <w:sz w:val="24"/>
          <w:szCs w:val="24"/>
          <w:highlight w:val="none"/>
          <w:lang w:val="en-US" w:eastAsia="zh-CN"/>
        </w:rPr>
        <w:t xml:space="preserve">措施</w:t>
      </w:r>
      <w:r>
        <w:rPr>
          <w:rFonts w:hint="eastAsia" w:ascii="宋体" w:hAnsi="宋体" w:cs="宋体"/>
          <w:b w:val="0"/>
          <w:bCs w:val="0"/>
          <w:color w:val="000000"/>
          <w:sz w:val="24"/>
          <w:szCs w:val="24"/>
          <w:highlight w:val="none"/>
          <w:lang w:val="en-US" w:eastAsia="zh-CN"/>
        </w:rPr>
        <w:t xml:space="preserve">尚可，</w:t>
      </w: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及</w:t>
      </w:r>
      <w:r>
        <w:rPr>
          <w:rFonts w:hint="eastAsia" w:ascii="宋体" w:hAnsi="宋体" w:eastAsia="宋体" w:cs="宋体"/>
          <w:color w:val="000000"/>
          <w:sz w:val="24"/>
          <w:szCs w:val="24"/>
          <w:highlight w:val="none"/>
          <w:lang w:val="en-US" w:eastAsia="zh-CN" w:bidi="ar-SA"/>
        </w:rPr>
        <w:t xml:space="preserve">可操作性</w:t>
      </w:r>
      <w:r>
        <w:rPr>
          <w:rFonts w:hint="eastAsia" w:ascii="宋体" w:hAnsi="宋体" w:cs="宋体"/>
          <w:color w:val="000000"/>
          <w:sz w:val="24"/>
          <w:szCs w:val="24"/>
          <w:highlight w:val="none"/>
          <w:lang w:val="en-US" w:eastAsia="zh-CN" w:bidi="ar-SA"/>
        </w:rPr>
        <w:t xml:space="preserve">一般</w:t>
      </w:r>
      <w:r>
        <w:rPr>
          <w:rFonts w:hint="eastAsia" w:ascii="宋体" w:hAnsi="宋体" w:cs="宋体"/>
          <w:b w:val="0"/>
          <w:bCs w:val="0"/>
          <w:color w:val="000000"/>
          <w:sz w:val="24"/>
          <w:szCs w:val="24"/>
          <w:highlight w:val="none"/>
          <w:lang w:val="en-US" w:eastAsia="zh-CN"/>
        </w:rPr>
        <w:t xml:space="preserve">得3分；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针对本项目的方案简单，可能影响整体质量控制效果得1分；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不提供方案或完全不符合要求不得分。</w:t>
      </w:r>
      <w:r>
        <w:rPr>
          <w:rFonts w:hint="eastAsia" w:ascii="宋体" w:hAnsi="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服务方案（16分）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1）饮片供应方案（4分）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供应方案详尽、完善，包括饮片来源、储存管理、配送流程等方面，确保饮片供应的及时性、准确性和安全性得</w:t>
      </w:r>
      <w:r>
        <w:rPr>
          <w:rFonts w:hint="eastAsia" w:ascii="宋体" w:hAnsi="宋体" w:cs="宋体"/>
          <w:b w:val="0"/>
          <w:bCs w:val="0"/>
          <w:color w:val="000000"/>
          <w:sz w:val="24"/>
          <w:szCs w:val="24"/>
          <w:highlight w:val="none"/>
          <w:lang w:val="en-US" w:eastAsia="zh-CN"/>
        </w:rPr>
        <w:t xml:space="preserve">4</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供应方案基本覆盖主要</w:t>
      </w:r>
      <w:r>
        <w:rPr>
          <w:rFonts w:hint="eastAsia" w:ascii="宋体" w:hAnsi="宋体" w:cs="宋体"/>
          <w:b w:val="0"/>
          <w:bCs w:val="0"/>
          <w:color w:val="000000"/>
          <w:sz w:val="24"/>
          <w:szCs w:val="24"/>
          <w:highlight w:val="none"/>
          <w:lang w:val="en-US" w:eastAsia="zh-CN"/>
        </w:rPr>
        <w:t xml:space="preserve">部分，供应环节步骤尚可，思路合理得2分；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供应方案内容简略，缺乏关键环节的详细描述得1分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未提供饮片供应方案或方案完全不符合要求不得分。</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2）代加工（汤剂、膏药、制丸、磨粉）管理方案（4分）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管理方案全面且详细，涵盖原料采购、加工流程、成品储存与配送等方面，确保代加工服务的规范化、高效化和安全化得</w:t>
      </w:r>
      <w:r>
        <w:rPr>
          <w:rFonts w:hint="eastAsia" w:ascii="宋体" w:hAnsi="宋体" w:cs="宋体"/>
          <w:b w:val="0"/>
          <w:bCs w:val="0"/>
          <w:color w:val="000000"/>
          <w:sz w:val="24"/>
          <w:szCs w:val="24"/>
          <w:highlight w:val="none"/>
          <w:lang w:val="en-US" w:eastAsia="zh-CN"/>
        </w:rPr>
        <w:t xml:space="preserve">4</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管理方案基本覆盖主要环节，代加工服务</w:t>
      </w:r>
      <w:r>
        <w:rPr>
          <w:rFonts w:hint="eastAsia" w:ascii="宋体" w:hAnsi="宋体" w:cs="宋体"/>
          <w:b w:val="0"/>
          <w:bCs w:val="0"/>
          <w:color w:val="000000"/>
          <w:sz w:val="24"/>
          <w:szCs w:val="24"/>
          <w:highlight w:val="none"/>
          <w:lang w:val="en-US" w:eastAsia="zh-CN"/>
        </w:rPr>
        <w:t xml:space="preserve">合理</w:t>
      </w:r>
      <w:r>
        <w:rPr>
          <w:rFonts w:ascii="宋体" w:hAnsi="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2</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管理方案内容简单，缺乏关键环节的详细描述得1分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未提供代加工管理方案或方案完全不符合要求不得分</w:t>
      </w:r>
      <w:r>
        <w:rPr>
          <w:rFonts w:hint="eastAsia" w:ascii="宋体" w:hAnsi="宋体" w:cs="宋体"/>
          <w:color w:val="000000"/>
          <w:sz w:val="24"/>
          <w:szCs w:val="24"/>
          <w:highlight w:val="none"/>
          <w:lang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3）日常管理方案（4分）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日常管理方案完善，包括人员培训、设备维护、环境卫生、安全管理等方面，确保日常运营的顺利进行得</w:t>
      </w:r>
      <w:r>
        <w:rPr>
          <w:rFonts w:hint="eastAsia" w:ascii="宋体" w:hAnsi="宋体" w:cs="宋体"/>
          <w:b w:val="0"/>
          <w:bCs w:val="0"/>
          <w:color w:val="000000"/>
          <w:sz w:val="24"/>
          <w:szCs w:val="24"/>
          <w:highlight w:val="none"/>
          <w:lang w:val="en-US" w:eastAsia="zh-CN"/>
        </w:rPr>
        <w:t xml:space="preserve">4</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日常管理方案</w:t>
      </w:r>
      <w:r>
        <w:rPr>
          <w:rFonts w:hint="eastAsia" w:ascii="宋体" w:hAnsi="宋体" w:cs="宋体"/>
          <w:b w:val="0"/>
          <w:bCs w:val="0"/>
          <w:color w:val="000000"/>
          <w:sz w:val="24"/>
          <w:szCs w:val="24"/>
          <w:highlight w:val="none"/>
          <w:lang w:val="en-US" w:eastAsia="zh-CN"/>
        </w:rPr>
        <w:t xml:space="preserve">完整度高，</w:t>
      </w: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及</w:t>
      </w:r>
      <w:r>
        <w:rPr>
          <w:rFonts w:hint="eastAsia" w:ascii="宋体" w:hAnsi="宋体" w:eastAsia="宋体" w:cs="宋体"/>
          <w:color w:val="000000"/>
          <w:sz w:val="24"/>
          <w:szCs w:val="24"/>
          <w:highlight w:val="none"/>
          <w:lang w:val="en-US" w:eastAsia="zh-CN" w:bidi="ar-SA"/>
        </w:rPr>
        <w:t xml:space="preserve">可操作性</w:t>
      </w:r>
      <w:r>
        <w:rPr>
          <w:rFonts w:hint="eastAsia" w:ascii="宋体" w:hAnsi="宋体" w:cs="宋体"/>
          <w:color w:val="000000"/>
          <w:sz w:val="24"/>
          <w:szCs w:val="24"/>
          <w:highlight w:val="none"/>
          <w:lang w:val="en-US" w:eastAsia="zh-CN" w:bidi="ar-SA"/>
        </w:rPr>
        <w:t xml:space="preserve">一般</w:t>
      </w:r>
      <w:r>
        <w:rPr>
          <w:rFonts w:ascii="宋体" w:hAnsi="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2</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日常管理方案内容简略</w:t>
      </w:r>
      <w:r>
        <w:rPr>
          <w:rFonts w:hint="eastAsia" w:ascii="宋体" w:hAnsi="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可行性不高得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未提供日常管理方案或方案完全不符合要求不得分。</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4）差错处理措施及方案（4分）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差错处理方案详尽且实用，包括差错识别、原因分析、纠正措施、预防措施等方面，确保及时有效地处理差错并防止类似问题再次发生得</w:t>
      </w:r>
      <w:r>
        <w:rPr>
          <w:rFonts w:hint="eastAsia" w:ascii="宋体" w:hAnsi="宋体" w:cs="宋体"/>
          <w:b w:val="0"/>
          <w:bCs w:val="0"/>
          <w:color w:val="000000"/>
          <w:sz w:val="24"/>
          <w:szCs w:val="24"/>
          <w:highlight w:val="none"/>
          <w:lang w:val="en-US" w:eastAsia="zh-CN"/>
        </w:rPr>
        <w:t xml:space="preserve">4</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差错处理方案</w:t>
      </w:r>
      <w:r>
        <w:rPr>
          <w:rFonts w:hint="eastAsia" w:ascii="宋体" w:hAnsi="宋体" w:cs="宋体"/>
          <w:b w:val="0"/>
          <w:bCs w:val="0"/>
          <w:color w:val="000000"/>
          <w:sz w:val="24"/>
          <w:szCs w:val="24"/>
          <w:highlight w:val="none"/>
          <w:lang w:val="en-US" w:eastAsia="zh-CN"/>
        </w:rPr>
        <w:t xml:space="preserve">完整度高</w:t>
      </w:r>
      <w:r>
        <w:rPr>
          <w:rFonts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lang w:val="en-US" w:eastAsia="zh-CN"/>
        </w:rPr>
        <w:t xml:space="preserve">措施</w:t>
      </w:r>
      <w:r>
        <w:rPr>
          <w:rFonts w:hint="eastAsia" w:ascii="宋体" w:hAnsi="宋体" w:cs="宋体"/>
          <w:b w:val="0"/>
          <w:bCs w:val="0"/>
          <w:color w:val="000000"/>
          <w:sz w:val="24"/>
          <w:szCs w:val="24"/>
          <w:highlight w:val="none"/>
          <w:lang w:val="en-US" w:eastAsia="zh-CN"/>
        </w:rPr>
        <w:t xml:space="preserve">尚可，</w:t>
      </w:r>
      <w:r>
        <w:rPr>
          <w:rFonts w:hint="eastAsia" w:ascii="宋体" w:hAnsi="宋体" w:eastAsia="宋体" w:cs="宋体"/>
          <w:color w:val="000000"/>
          <w:sz w:val="24"/>
          <w:szCs w:val="24"/>
          <w:highlight w:val="none"/>
          <w:lang w:val="en-US" w:eastAsia="zh-CN" w:bidi="ar-SA"/>
        </w:rPr>
        <w:t xml:space="preserve">针对性</w:t>
      </w:r>
      <w:r>
        <w:rPr>
          <w:rFonts w:hint="eastAsia" w:ascii="宋体" w:hAnsi="宋体" w:cs="宋体"/>
          <w:color w:val="000000"/>
          <w:sz w:val="24"/>
          <w:szCs w:val="24"/>
          <w:highlight w:val="none"/>
          <w:lang w:val="en-US" w:eastAsia="zh-CN" w:bidi="ar-SA"/>
        </w:rPr>
        <w:t xml:space="preserve">及</w:t>
      </w:r>
      <w:r>
        <w:rPr>
          <w:rFonts w:hint="eastAsia" w:ascii="宋体" w:hAnsi="宋体" w:eastAsia="宋体" w:cs="宋体"/>
          <w:color w:val="000000"/>
          <w:sz w:val="24"/>
          <w:szCs w:val="24"/>
          <w:highlight w:val="none"/>
          <w:lang w:val="en-US" w:eastAsia="zh-CN" w:bidi="ar-SA"/>
        </w:rPr>
        <w:t xml:space="preserve">可操作性</w:t>
      </w:r>
      <w:r>
        <w:rPr>
          <w:rFonts w:hint="eastAsia" w:ascii="宋体" w:hAnsi="宋体" w:cs="宋体"/>
          <w:color w:val="000000"/>
          <w:sz w:val="24"/>
          <w:szCs w:val="24"/>
          <w:highlight w:val="none"/>
          <w:lang w:val="en-US" w:eastAsia="zh-CN" w:bidi="ar-SA"/>
        </w:rPr>
        <w:t xml:space="preserve">一般</w:t>
      </w:r>
      <w:r>
        <w:rPr>
          <w:rFonts w:ascii="宋体" w:hAnsi="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2</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差错处理方案内容简单，</w:t>
      </w:r>
      <w:r>
        <w:rPr>
          <w:rFonts w:hint="eastAsia" w:ascii="宋体" w:hAnsi="宋体" w:cs="宋体"/>
          <w:b w:val="0"/>
          <w:bCs w:val="0"/>
          <w:color w:val="000000"/>
          <w:sz w:val="24"/>
          <w:szCs w:val="24"/>
          <w:highlight w:val="none"/>
          <w:lang w:val="en-US" w:eastAsia="zh-CN"/>
        </w:rPr>
        <w:t xml:space="preserve">相关措施</w:t>
      </w:r>
      <w:r>
        <w:rPr>
          <w:rFonts w:hint="eastAsia" w:ascii="宋体" w:hAnsi="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可行性不高得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未提供差错处理方案或方案完全不符合要求不得分。</w:t>
      </w:r>
      <w:r>
        <w:rPr>
          <w:rFonts w:ascii="宋体" w:hAnsi="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代煎配送服务的全流程及追溯方案（5分）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从处方开具到配送完成步骤流程及供应链环节追溯等</w:t>
      </w:r>
      <w:r>
        <w:rPr>
          <w:rFonts w:hint="eastAsia" w:ascii="宋体" w:hAnsi="宋体" w:cs="宋体"/>
          <w:b w:val="0"/>
          <w:bCs w:val="0"/>
          <w:color w:val="000000"/>
          <w:sz w:val="24"/>
          <w:szCs w:val="24"/>
          <w:highlight w:val="none"/>
          <w:lang w:val="en-US" w:eastAsia="zh-CN"/>
        </w:rPr>
        <w:t xml:space="preserve">进行描述。</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追溯方案详细，步骤清晰完整，思路合理得</w:t>
      </w:r>
      <w:r>
        <w:rPr>
          <w:rFonts w:hint="eastAsia" w:ascii="宋体" w:hAnsi="宋体" w:cs="宋体"/>
          <w:b w:val="0"/>
          <w:bCs w:val="0"/>
          <w:color w:val="000000"/>
          <w:sz w:val="24"/>
          <w:szCs w:val="24"/>
          <w:highlight w:val="none"/>
          <w:lang w:val="en-US" w:eastAsia="zh-CN"/>
        </w:rPr>
        <w:t xml:space="preserve">5</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追溯方案</w:t>
      </w:r>
      <w:r>
        <w:rPr>
          <w:rFonts w:hint="eastAsia" w:ascii="宋体" w:hAnsi="宋体" w:cs="宋体"/>
          <w:b w:val="0"/>
          <w:bCs w:val="0"/>
          <w:color w:val="000000"/>
          <w:sz w:val="24"/>
          <w:szCs w:val="24"/>
          <w:highlight w:val="none"/>
          <w:lang w:val="en-US" w:eastAsia="zh-CN"/>
        </w:rPr>
        <w:t xml:space="preserve">完整</w:t>
      </w:r>
      <w:r>
        <w:rPr>
          <w:rFonts w:ascii="宋体" w:hAnsi="宋体" w:cs="宋体"/>
          <w:b w:val="0"/>
          <w:bCs w:val="0"/>
          <w:color w:val="000000"/>
          <w:sz w:val="24"/>
          <w:szCs w:val="24"/>
          <w:highlight w:val="none"/>
          <w:lang w:val="en-US" w:eastAsia="zh-CN"/>
        </w:rPr>
        <w:t xml:space="preserve">，步骤完整</w:t>
      </w:r>
      <w:r>
        <w:rPr>
          <w:rFonts w:hint="eastAsia" w:ascii="宋体" w:hAnsi="宋体" w:cs="宋体"/>
          <w:b w:val="0"/>
          <w:bCs w:val="0"/>
          <w:color w:val="000000"/>
          <w:sz w:val="24"/>
          <w:szCs w:val="24"/>
          <w:highlight w:val="none"/>
          <w:lang w:val="en-US" w:eastAsia="zh-CN"/>
        </w:rPr>
        <w:t xml:space="preserve">度高</w:t>
      </w:r>
      <w:r>
        <w:rPr>
          <w:rFonts w:ascii="宋体" w:hAnsi="宋体" w:cs="宋体"/>
          <w:b w:val="0"/>
          <w:bCs w:val="0"/>
          <w:color w:val="000000"/>
          <w:sz w:val="24"/>
          <w:szCs w:val="24"/>
          <w:highlight w:val="none"/>
          <w:lang w:val="en-US" w:eastAsia="zh-CN"/>
        </w:rPr>
        <w:t xml:space="preserve">，思路</w:t>
      </w:r>
      <w:r>
        <w:rPr>
          <w:rFonts w:hint="eastAsia" w:ascii="宋体" w:hAnsi="宋体" w:cs="宋体"/>
          <w:b w:val="0"/>
          <w:bCs w:val="0"/>
          <w:color w:val="000000"/>
          <w:sz w:val="24"/>
          <w:szCs w:val="24"/>
          <w:highlight w:val="none"/>
          <w:lang w:val="en-US" w:eastAsia="zh-CN"/>
        </w:rPr>
        <w:t xml:space="preserve">尚可</w:t>
      </w:r>
      <w:r>
        <w:rPr>
          <w:rFonts w:ascii="宋体" w:hAnsi="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3</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cs="宋体"/>
          <w:b w:val="0"/>
          <w:bCs w:val="0"/>
          <w:color w:val="000000"/>
          <w:sz w:val="24"/>
          <w:szCs w:val="24"/>
          <w:highlight w:val="none"/>
          <w:lang w:val="en-US" w:eastAsia="zh-CN"/>
        </w:rPr>
        <w:t xml:space="preserve">追溯方案简略，步骤不太明确，思路不合理得</w:t>
      </w:r>
      <w:r>
        <w:rPr>
          <w:rFonts w:hint="eastAsia" w:ascii="宋体" w:hAnsi="宋体" w:cs="宋体"/>
          <w:b w:val="0"/>
          <w:bCs w:val="0"/>
          <w:color w:val="000000"/>
          <w:sz w:val="24"/>
          <w:szCs w:val="24"/>
          <w:highlight w:val="none"/>
          <w:lang w:val="en-US" w:eastAsia="zh-CN"/>
        </w:rPr>
        <w:t xml:space="preserve">1</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未提供追溯方案不得分。</w:t>
      </w:r>
      <w:r>
        <w:rPr>
          <w:rFonts w:ascii="宋体" w:hAnsi="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投标供应商针对本项目的组织架构、各岗位职责分工、管理机制（4分）</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投标供应商拥有科学、合理</w:t>
      </w:r>
      <w:r>
        <w:rPr>
          <w:rFonts w:hint="eastAsia" w:ascii="宋体" w:hAnsi="宋体" w:cs="宋体"/>
          <w:b w:val="0"/>
          <w:bCs w:val="0"/>
          <w:color w:val="000000"/>
          <w:sz w:val="24"/>
          <w:szCs w:val="24"/>
          <w:highlight w:val="none"/>
          <w:lang w:val="en-US" w:eastAsia="zh-CN"/>
        </w:rPr>
        <w:t xml:space="preserve">且</w:t>
      </w:r>
      <w:r>
        <w:rPr>
          <w:rFonts w:ascii="宋体" w:hAnsi="宋体" w:cs="宋体"/>
          <w:b w:val="0"/>
          <w:bCs w:val="0"/>
          <w:color w:val="000000"/>
          <w:sz w:val="24"/>
          <w:szCs w:val="24"/>
          <w:highlight w:val="none"/>
          <w:lang w:val="en-US" w:eastAsia="zh-CN"/>
        </w:rPr>
        <w:t xml:space="preserve">高效的组织架构，各部门之间职责明确，协同顺畅。各岗位职责分工细致、合理，员工能够高效地完成工作任务。同时，管理机制完善，包括决策、执行、监督、激励等各个环节，能够确保供应商的稳定运营和持续发展得</w:t>
      </w:r>
      <w:r>
        <w:rPr>
          <w:rFonts w:hint="eastAsia" w:ascii="宋体" w:hAnsi="宋体" w:cs="宋体"/>
          <w:b w:val="0"/>
          <w:bCs w:val="0"/>
          <w:color w:val="000000"/>
          <w:sz w:val="24"/>
          <w:szCs w:val="24"/>
          <w:highlight w:val="none"/>
          <w:lang w:val="en-US" w:eastAsia="zh-CN"/>
        </w:rPr>
        <w:t xml:space="preserve">4</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投标供应商的组织架构基本合理，各岗位职责分工相对明确，管理机制</w:t>
      </w:r>
      <w:r>
        <w:rPr>
          <w:rFonts w:hint="eastAsia" w:ascii="宋体" w:hAnsi="宋体" w:cs="宋体"/>
          <w:b w:val="0"/>
          <w:bCs w:val="0"/>
          <w:color w:val="000000"/>
          <w:sz w:val="24"/>
          <w:szCs w:val="24"/>
          <w:highlight w:val="none"/>
          <w:lang w:val="en-US" w:eastAsia="zh-CN"/>
        </w:rPr>
        <w:t xml:space="preserve">尚可</w:t>
      </w:r>
      <w:r>
        <w:rPr>
          <w:rFonts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但</w:t>
      </w:r>
      <w:r>
        <w:rPr>
          <w:rFonts w:ascii="宋体" w:hAnsi="宋体" w:cs="宋体"/>
          <w:b w:val="0"/>
          <w:bCs w:val="0"/>
          <w:color w:val="000000"/>
          <w:sz w:val="24"/>
          <w:szCs w:val="24"/>
          <w:highlight w:val="none"/>
          <w:lang w:val="en-US" w:eastAsia="zh-CN"/>
        </w:rPr>
        <w:t xml:space="preserve">缺乏足够的灵活性和执行力得</w:t>
      </w:r>
      <w:r>
        <w:rPr>
          <w:rFonts w:hint="eastAsia" w:ascii="宋体" w:hAnsi="宋体" w:cs="宋体"/>
          <w:b w:val="0"/>
          <w:bCs w:val="0"/>
          <w:color w:val="000000"/>
          <w:sz w:val="24"/>
          <w:szCs w:val="24"/>
          <w:highlight w:val="none"/>
          <w:lang w:val="en-US" w:eastAsia="zh-CN"/>
        </w:rPr>
        <w:t xml:space="preserve">2</w:t>
      </w:r>
      <w:r>
        <w:rPr>
          <w:rFonts w:ascii="宋体" w:hAnsi="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b w:val="0"/>
          <w:bCs w:val="0"/>
          <w:color w:val="000000"/>
          <w:sz w:val="24"/>
          <w:szCs w:val="24"/>
          <w:highlight w:val="none"/>
          <w:lang w:val="en-US" w:eastAsia="zh-CN"/>
        </w:rPr>
      </w:pPr>
      <w:r>
        <w:rPr>
          <w:rFonts w:ascii="宋体" w:hAnsi="宋体" w:cs="宋体"/>
          <w:b w:val="0"/>
          <w:bCs w:val="0"/>
          <w:color w:val="000000"/>
          <w:sz w:val="24"/>
          <w:szCs w:val="24"/>
          <w:highlight w:val="none"/>
          <w:lang w:val="en-US" w:eastAsia="zh-CN"/>
        </w:rPr>
        <w:t xml:space="preserve">投标供应商的组织架构</w:t>
      </w:r>
      <w:r>
        <w:rPr>
          <w:rFonts w:hint="eastAsia" w:ascii="宋体" w:hAnsi="宋体" w:cs="宋体"/>
          <w:b w:val="0"/>
          <w:bCs w:val="0"/>
          <w:color w:val="000000"/>
          <w:sz w:val="24"/>
          <w:szCs w:val="24"/>
          <w:highlight w:val="none"/>
          <w:lang w:val="en-US" w:eastAsia="zh-CN"/>
        </w:rPr>
        <w:t xml:space="preserve">简单</w:t>
      </w:r>
      <w:r>
        <w:rPr>
          <w:rFonts w:ascii="宋体" w:hAnsi="宋体" w:cs="宋体"/>
          <w:b w:val="0"/>
          <w:bCs w:val="0"/>
          <w:color w:val="000000"/>
          <w:sz w:val="24"/>
          <w:szCs w:val="24"/>
          <w:highlight w:val="none"/>
          <w:lang w:val="en-US" w:eastAsia="zh-CN"/>
        </w:rPr>
        <w:t xml:space="preserve">，各岗位职责分工不够明确，管理机制简单，缺乏必要的监督和激励机制</w:t>
      </w:r>
      <w:r>
        <w:rPr>
          <w:rFonts w:hint="eastAsia" w:ascii="宋体" w:hAnsi="宋体" w:cs="宋体"/>
          <w:b w:val="0"/>
          <w:bCs w:val="0"/>
          <w:color w:val="000000"/>
          <w:sz w:val="24"/>
          <w:szCs w:val="24"/>
          <w:highlight w:val="none"/>
          <w:lang w:val="en-US" w:eastAsia="zh-CN"/>
        </w:rPr>
        <w:t xml:space="preserve">的得1分；</w:t>
      </w:r>
      <w:r>
        <w:rPr>
          <w:rFonts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未提供组织架构、各岗位职责分工、管理机制的不得分。</w:t>
      </w:r>
      <w:r>
        <w:rPr>
          <w:rFonts w:hint="eastAsia" w:ascii="宋体" w:hAnsi="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配送</w:t>
      </w:r>
      <w:r>
        <w:rPr>
          <w:rFonts w:hint="eastAsia" w:ascii="宋体" w:hAnsi="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lang w:val="en-US" w:eastAsia="zh-CN"/>
        </w:rPr>
        <w:t xml:space="preserve">（5分）：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针对本项目的</w:t>
      </w:r>
      <w:r>
        <w:rPr>
          <w:rFonts w:hint="eastAsia" w:ascii="宋体" w:hAnsi="宋体" w:eastAsia="宋体" w:cs="宋体"/>
          <w:b w:val="0"/>
          <w:bCs w:val="0"/>
          <w:color w:val="000000"/>
          <w:sz w:val="24"/>
          <w:szCs w:val="24"/>
          <w:highlight w:val="none"/>
          <w:lang w:val="en-US" w:eastAsia="zh-CN"/>
        </w:rPr>
        <w:t xml:space="preserve">配送</w:t>
      </w:r>
      <w:r>
        <w:rPr>
          <w:rFonts w:hint="eastAsia" w:ascii="宋体" w:hAnsi="宋体" w:cs="宋体"/>
          <w:b w:val="0"/>
          <w:bCs w:val="0"/>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详细完整，针对性强，思路合理得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30"/>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针对本项目的</w:t>
      </w:r>
      <w:r>
        <w:rPr>
          <w:rFonts w:hint="eastAsia" w:ascii="宋体" w:hAnsi="宋体" w:eastAsia="宋体" w:cs="宋体"/>
          <w:b w:val="0"/>
          <w:bCs w:val="0"/>
          <w:color w:val="000000"/>
          <w:sz w:val="24"/>
          <w:szCs w:val="24"/>
          <w:highlight w:val="none"/>
          <w:lang w:val="en-US" w:eastAsia="zh-CN"/>
        </w:rPr>
        <w:t xml:space="preserve">配送</w:t>
      </w:r>
      <w:r>
        <w:rPr>
          <w:rFonts w:hint="eastAsia" w:ascii="宋体" w:hAnsi="宋体" w:cs="宋体"/>
          <w:b w:val="0"/>
          <w:bCs w:val="0"/>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完整，针对性</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思路</w:t>
      </w:r>
      <w:r>
        <w:rPr>
          <w:rFonts w:hint="eastAsia" w:ascii="宋体" w:hAnsi="宋体" w:eastAsia="宋体" w:cs="宋体"/>
          <w:color w:val="000000"/>
          <w:sz w:val="24"/>
          <w:szCs w:val="24"/>
          <w:highlight w:val="none"/>
          <w:lang w:val="en-US" w:eastAsia="zh-CN"/>
        </w:rPr>
        <w:t xml:space="preserve">可行性尚可</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30"/>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针对本项目的</w:t>
      </w:r>
      <w:r>
        <w:rPr>
          <w:rFonts w:hint="eastAsia" w:ascii="宋体" w:hAnsi="宋体" w:eastAsia="宋体" w:cs="宋体"/>
          <w:b w:val="0"/>
          <w:bCs w:val="0"/>
          <w:color w:val="000000"/>
          <w:sz w:val="24"/>
          <w:szCs w:val="24"/>
          <w:highlight w:val="none"/>
          <w:lang w:val="en-US" w:eastAsia="zh-CN"/>
        </w:rPr>
        <w:t xml:space="preserve">配送</w:t>
      </w:r>
      <w:r>
        <w:rPr>
          <w:rFonts w:hint="eastAsia" w:ascii="宋体" w:hAnsi="宋体" w:cs="宋体"/>
          <w:b w:val="0"/>
          <w:bCs w:val="0"/>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简单，针对性一般，思路可行性不高得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8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配送</w:t>
      </w:r>
      <w:r>
        <w:rPr>
          <w:rFonts w:hint="eastAsia" w:ascii="宋体" w:hAnsi="宋体" w:cs="宋体"/>
          <w:b w:val="0"/>
          <w:bCs w:val="0"/>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无可操作性，思路不合理或未提供方案，不得分。</w:t>
      </w:r>
      <w:r>
        <w:rPr>
          <w:rFonts w:hint="eastAsia" w:ascii="宋体" w:hAnsi="宋体" w:eastAsia="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信息系统对接方案（5分）</w:t>
      </w:r>
      <w:r>
        <w:rPr>
          <w:rFonts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eastAsia="宋体" w:cs="宋体"/>
          <w:b w:val="0"/>
          <w:bCs w:val="0"/>
          <w:color w:val="000000"/>
          <w:sz w:val="24"/>
          <w:szCs w:val="24"/>
          <w:highlight w:val="none"/>
          <w:lang w:val="en-US" w:eastAsia="zh-CN"/>
        </w:rPr>
        <w:t xml:space="preserve">方案至少包括信息系统维护更新的及时性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保证医疗机构和投标供应商间的处方信息和配送信息及时传达到位，服务及时</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、处方信息的完整性、配送信息的及时准确性、服务手段的便利性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eastAsia="宋体" w:cs="宋体"/>
          <w:b w:val="0"/>
          <w:bCs w:val="0"/>
          <w:color w:val="000000"/>
          <w:sz w:val="24"/>
          <w:szCs w:val="24"/>
          <w:highlight w:val="none"/>
          <w:lang w:val="en-US" w:eastAsia="zh-CN"/>
        </w:rPr>
        <w:t xml:space="preserve">对接方案科学合理、信息完整准确，服务便利，得</w:t>
      </w: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eastAsia="宋体" w:cs="宋体"/>
          <w:b w:val="0"/>
          <w:bCs w:val="0"/>
          <w:color w:val="000000"/>
          <w:sz w:val="24"/>
          <w:szCs w:val="24"/>
          <w:highlight w:val="none"/>
          <w:lang w:val="en-US" w:eastAsia="zh-CN"/>
        </w:rPr>
        <w:t xml:space="preserve">对接方案</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合理、信息准确，服务</w:t>
      </w:r>
      <w:r>
        <w:rPr>
          <w:rFonts w:hint="eastAsia" w:ascii="宋体" w:hAnsi="宋体" w:eastAsia="宋体" w:cs="宋体"/>
          <w:b w:val="0"/>
          <w:bCs w:val="0"/>
          <w:color w:val="000000"/>
          <w:sz w:val="24"/>
          <w:szCs w:val="24"/>
          <w:highlight w:val="none"/>
          <w:lang w:val="en-US" w:eastAsia="zh-CN"/>
        </w:rPr>
        <w:t xml:space="preserve">省力</w:t>
      </w:r>
      <w:r>
        <w:rPr>
          <w:rFonts w:ascii="宋体" w:hAnsi="宋体" w:eastAsia="宋体" w:cs="宋体"/>
          <w:b w:val="0"/>
          <w:bCs w:val="0"/>
          <w:color w:val="000000"/>
          <w:sz w:val="24"/>
          <w:szCs w:val="24"/>
          <w:highlight w:val="none"/>
          <w:lang w:val="en-US" w:eastAsia="zh-CN"/>
        </w:rPr>
        <w:t xml:space="preserve">，得</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w:t>
      </w:r>
      <w:r>
        <w:rPr>
          <w:rFonts w:ascii="宋体" w:hAnsi="宋体" w:eastAsia="宋体" w:cs="宋体"/>
          <w:b w:val="0"/>
          <w:bCs w:val="0"/>
          <w:color w:val="000000"/>
          <w:sz w:val="24"/>
          <w:szCs w:val="24"/>
          <w:highlight w:val="none"/>
          <w:lang w:val="en-US" w:eastAsia="zh-CN"/>
        </w:rPr>
        <w:t xml:space="preserve">对接方案合理性、信息完整度及准确性不高，服务麻烦</w:t>
      </w:r>
      <w:r>
        <w:rPr>
          <w:rFonts w:hint="eastAsia" w:ascii="宋体" w:hAnsi="宋体" w:eastAsia="宋体" w:cs="宋体"/>
          <w:b w:val="0"/>
          <w:bCs w:val="0"/>
          <w:color w:val="000000"/>
          <w:sz w:val="24"/>
          <w:szCs w:val="24"/>
          <w:highlight w:val="none"/>
          <w:lang w:val="en-US" w:eastAsia="zh-CN"/>
        </w:rPr>
        <w:t xml:space="preserve">，得1分；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未提供信息系统对接方案不得分。</w:t>
      </w:r>
      <w:r>
        <w:rPr>
          <w:rFonts w:hint="eastAsia" w:ascii="宋体" w:hAnsi="宋体" w:eastAsia="宋体" w:cs="宋体"/>
          <w:b w:val="0"/>
          <w:bCs w:val="0"/>
          <w:color w:val="000000"/>
          <w:sz w:val="24"/>
          <w:szCs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增值赋能方案或其他优惠承诺（5分）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olor w:val="000000"/>
          <w:sz w:val="24"/>
          <w:highlight w:val="none"/>
          <w:lang w:eastAsia="zh-CN"/>
        </w:rPr>
      </w:pPr>
      <w:r>
        <w:rPr>
          <w:rFonts w:hint="eastAsia" w:ascii="宋体" w:hAnsi="宋体" w:cs="宋体"/>
          <w:b w:val="0"/>
          <w:bCs w:val="0"/>
          <w:color w:val="000000"/>
          <w:sz w:val="24"/>
          <w:szCs w:val="24"/>
          <w:highlight w:val="none"/>
          <w:lang w:val="en-US" w:eastAsia="zh-CN"/>
        </w:rPr>
        <w:t xml:space="preserve">针对本项目的方案具备增值收益，可执行性高的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730"/>
        <w:ind w:firstLine="480"/>
        <w:keepLines w:val="0"/>
        <w:keepNext w:val="0"/>
        <w:pageBreakBefore w:val="0"/>
        <w:spacing w:line="360" w:lineRule="auto"/>
        <w:widowControl w:val="off"/>
        <w:rPr>
          <w:rFonts w:hint="eastAsia" w:ascii="宋体" w:hAnsi="宋体"/>
          <w:color w:val="000000"/>
          <w:sz w:val="24"/>
          <w:highlight w:val="none"/>
          <w:lang w:eastAsia="zh-CN"/>
        </w:rPr>
      </w:pPr>
      <w:r>
        <w:rPr>
          <w:rFonts w:hint="eastAsia" w:ascii="宋体" w:hAnsi="宋体" w:cs="宋体"/>
          <w:b w:val="0"/>
          <w:bCs w:val="0"/>
          <w:color w:val="000000"/>
          <w:sz w:val="24"/>
          <w:szCs w:val="24"/>
          <w:highlight w:val="none"/>
          <w:lang w:val="en-US" w:eastAsia="zh-CN"/>
        </w:rPr>
        <w:t xml:space="preserve">针对本项目的方案具备增值收益，可执行性尚可的</w:t>
      </w:r>
      <w:r>
        <w:rPr>
          <w:rFonts w:hint="eastAsia" w:ascii="宋体" w:hAnsi="宋体"/>
          <w:color w:val="000000"/>
          <w:sz w:val="24"/>
          <w:highlight w:val="none"/>
        </w:rPr>
        <w:t xml:space="preserve">得</w:t>
      </w:r>
      <w:r>
        <w:rPr>
          <w:rFonts w:hint="eastAsia" w:ascii="宋体" w:hAnsi="宋体" w:eastAsia="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730"/>
        <w:ind w:firstLine="480"/>
        <w:keepLines w:val="0"/>
        <w:keepNext w:val="0"/>
        <w:pageBreakBefore w:val="0"/>
        <w:spacing w:line="360" w:lineRule="auto"/>
        <w:widowControl w:val="off"/>
        <w:rPr>
          <w:rFonts w:hint="eastAsia" w:ascii="宋体" w:hAnsi="宋体"/>
          <w:color w:val="000000"/>
          <w:sz w:val="24"/>
          <w:highlight w:val="none"/>
          <w:lang w:eastAsia="zh-CN"/>
        </w:rPr>
      </w:pPr>
      <w:r>
        <w:rPr>
          <w:rFonts w:hint="eastAsia" w:ascii="宋体" w:hAnsi="宋体" w:cs="宋体"/>
          <w:b w:val="0"/>
          <w:bCs w:val="0"/>
          <w:color w:val="000000"/>
          <w:sz w:val="24"/>
          <w:szCs w:val="24"/>
          <w:highlight w:val="none"/>
          <w:lang w:val="en-US" w:eastAsia="zh-CN"/>
        </w:rPr>
        <w:t xml:space="preserve">针对本项目的方案具备增值收益，可执行性一般的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730"/>
        <w:ind w:firstLine="480"/>
        <w:keepLines w:val="0"/>
        <w:keepNext w:val="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方案不具备增值收益</w:t>
      </w:r>
      <w:r>
        <w:rPr>
          <w:rFonts w:hint="eastAsia" w:ascii="宋体" w:hAnsi="宋体" w:cs="宋体"/>
          <w:b w:val="0"/>
          <w:bCs w:val="0"/>
          <w:color w:val="000000"/>
          <w:sz w:val="24"/>
          <w:szCs w:val="24"/>
          <w:highlight w:val="none"/>
          <w:lang w:val="en-US" w:eastAsia="zh-CN"/>
        </w:rPr>
        <w:t xml:space="preserve">或</w:t>
      </w:r>
      <w:r>
        <w:rPr>
          <w:rFonts w:hint="eastAsia" w:ascii="宋体" w:hAnsi="宋体"/>
          <w:color w:val="000000"/>
          <w:sz w:val="24"/>
          <w:highlight w:val="none"/>
          <w:lang w:val="en-US" w:eastAsia="zh-CN"/>
        </w:rPr>
        <w:t xml:space="preserve">未提供方案的不得分。</w:t>
      </w:r>
      <w:r>
        <w:rPr>
          <w:rFonts w:ascii="宋体" w:hAnsi="宋体" w:eastAsia="宋体"/>
          <w:color w:val="000000"/>
          <w:sz w:val="24"/>
          <w:highlight w:val="none"/>
          <w:lang w:val="en-US" w:eastAsia="zh-CN"/>
        </w:rPr>
      </w:r>
      <w:r/>
    </w:p>
    <w:p>
      <w:pPr>
        <w:pStyle w:val="730"/>
        <w:numPr>
          <w:ilvl w:val="0"/>
          <w:numId w:val="13"/>
        </w:numPr>
        <w:ind w:left="-6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售后服务方案（5分）</w:t>
      </w:r>
      <w:r>
        <w:rPr>
          <w:rFonts w:hint="eastAsia" w:ascii="宋体" w:hAnsi="宋体" w:eastAsia="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根据投标人提供的针对本项目的售后服务方案，包括售后服务的内容和详细方案合理性、科学性、备件备品、故障响应时间、重大故障的应急预案和措施等情况酌情给分。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针对本项目的售后服务方案详细完整，参照采购人实际情况编制，思路合理得5分；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针对本项目的售后服务方案完整，与采购人实际情况大致相符，思路尚可得3分；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针对本项目的售后服务方案简单，不太符合采购人实际情况，思路合理性一般得1分；</w:t>
      </w:r>
      <w:r>
        <w:rPr>
          <w:rFonts w:hint="eastAsia" w:ascii="宋体" w:hAnsi="宋体" w:cs="宋体"/>
          <w:b w:val="0"/>
          <w:bCs w:val="0"/>
          <w:color w:val="000000"/>
          <w:sz w:val="24"/>
          <w:szCs w:val="24"/>
          <w:highlight w:val="none"/>
          <w:lang w:val="en-US" w:eastAsia="zh-CN"/>
        </w:rPr>
      </w:r>
      <w:r/>
    </w:p>
    <w:p>
      <w:pPr>
        <w:pStyle w:val="730"/>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针对本项目的售后服务方案差，不符合采购人实际情况，思路合理性差不得分。</w:t>
      </w:r>
      <w:r>
        <w:rPr>
          <w:rFonts w:hint="eastAsia" w:ascii="宋体" w:hAnsi="宋体" w:cs="宋体"/>
          <w:b w:val="0"/>
          <w:bCs w:val="0"/>
          <w:color w:val="000000"/>
          <w:sz w:val="24"/>
          <w:szCs w:val="24"/>
          <w:highlight w:val="none"/>
          <w:lang w:val="en-US" w:eastAsia="zh-CN"/>
        </w:rPr>
      </w:r>
      <w:r/>
    </w:p>
    <w:p>
      <w:pPr>
        <w:pStyle w:val="730"/>
        <w:jc w:val="left"/>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730"/>
        <w:jc w:val="center"/>
        <w:spacing w:line="360" w:lineRule="auto"/>
        <w:rPr>
          <w:rFonts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第六章  </w:t>
      </w:r>
      <w:bookmarkEnd w:id="141"/>
      <w:r/>
      <w:bookmarkEnd w:id="142"/>
      <w:r/>
      <w:bookmarkEnd w:id="143"/>
      <w:r>
        <w:rPr>
          <w:rFonts w:hint="eastAsia" w:ascii="宋体" w:hAnsi="宋体" w:eastAsia="宋体" w:cs="宋体"/>
          <w:bCs/>
          <w:color w:val="000000"/>
          <w:sz w:val="36"/>
          <w:szCs w:val="36"/>
          <w:highlight w:val="none"/>
        </w:rPr>
        <w:t xml:space="preserve">投标文件内容与格式</w:t>
      </w:r>
      <w:r>
        <w:rPr>
          <w:rFonts w:ascii="宋体" w:hAnsi="宋体" w:eastAsia="宋体" w:cs="宋体"/>
          <w:bCs/>
          <w:color w:val="000000"/>
          <w:sz w:val="36"/>
          <w:szCs w:val="36"/>
          <w:highlight w:val="none"/>
        </w:rPr>
      </w:r>
      <w:r/>
    </w:p>
    <w:p>
      <w:pPr>
        <w:pStyle w:val="1167"/>
        <w:ind w:firstLine="602"/>
        <w:spacing w:before="0" w:after="0"/>
        <w:rPr>
          <w:rFonts w:ascii="宋体" w:hAnsi="宋体" w:cs="宋体"/>
          <w:b/>
          <w:color w:val="000000"/>
          <w:sz w:val="30"/>
          <w:szCs w:val="30"/>
          <w:highlight w:val="none"/>
        </w:rPr>
      </w:pPr>
      <w:r/>
      <w:bookmarkStart w:id="144" w:name="_Hlt26671244"/>
      <w:r/>
      <w:bookmarkEnd w:id="144"/>
      <w:r/>
      <w:bookmarkStart w:id="145" w:name="_Hlt26955039"/>
      <w:r/>
      <w:bookmarkEnd w:id="145"/>
      <w:r>
        <w:rPr>
          <w:rFonts w:hint="eastAsia" w:ascii="宋体" w:hAnsi="宋体" w:cs="宋体"/>
          <w:b/>
          <w:color w:val="000000"/>
          <w:sz w:val="30"/>
          <w:szCs w:val="30"/>
          <w:highlight w:val="none"/>
        </w:rPr>
        <w:t xml:space="preserve">第一部分投标文件内容</w:t>
      </w:r>
      <w:r>
        <w:rPr>
          <w:rFonts w:ascii="宋体" w:hAnsi="宋体" w:cs="宋体"/>
          <w:b/>
          <w:color w:val="000000"/>
          <w:sz w:val="30"/>
          <w:szCs w:val="30"/>
          <w:highlight w:val="none"/>
        </w:rPr>
      </w:r>
      <w:r/>
    </w:p>
    <w:p>
      <w:pPr>
        <w:pStyle w:val="1167"/>
        <w:ind w:firstLine="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一、资格证明文件</w:t>
      </w:r>
      <w:r>
        <w:rPr>
          <w:rFonts w:ascii="宋体" w:hAnsi="宋体" w:cs="宋体"/>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67"/>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1167"/>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2449" w:type="dxa"/>
            <w:vAlign w:val="center"/>
            <w:textDirection w:val="lrTb"/>
            <w:noWrap w:val="false"/>
          </w:tcPr>
          <w:p>
            <w:pPr>
              <w:pStyle w:val="1167"/>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cs="宋体"/>
                <w:color w:val="000000"/>
                <w:highlight w:val="none"/>
              </w:rPr>
            </w:r>
            <w:r/>
          </w:p>
        </w:tc>
        <w:tc>
          <w:tcPr>
            <w:tcW w:w="2449" w:type="dxa"/>
            <w:vAlign w:val="center"/>
            <w:vMerge w:val="restart"/>
            <w:textDirection w:val="lrTb"/>
            <w:noWrap w:val="false"/>
          </w:tcPr>
          <w:p>
            <w:pPr>
              <w:pStyle w:val="1167"/>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ascii="宋体" w:hAnsi="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730"/>
              <w:spacing w:line="360" w:lineRule="auto"/>
              <w:tabs>
                <w:tab w:val="left" w:pos="420" w:leader="none"/>
                <w:tab w:val="left" w:pos="945" w:leader="none"/>
                <w:tab w:val="left" w:pos="1155" w:leader="none"/>
              </w:tabs>
              <w:rPr>
                <w:rFonts w:ascii="宋体" w:hAnsi="宋体" w:eastAsia="宋体" w:cs="宋体"/>
                <w:color w:val="000000"/>
                <w:highlight w:val="none"/>
              </w:rPr>
            </w:pPr>
            <w:r>
              <w:rPr>
                <w:rFonts w:hint="eastAsia" w:ascii="宋体" w:hAnsi="宋体" w:eastAsia="宋体" w:cs="宋体"/>
                <w:bCs/>
                <w:color w:val="000000"/>
                <w:sz w:val="24"/>
                <w:highlight w:val="none"/>
              </w:rPr>
              <w:t xml:space="preserve">被授权人具有与本企业签订的劳动合同或供应商为其缴纳的由相关部门出具的近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中任意一个月份（不含投标当月）的社保缴费证明（新成立的企业若不满足六个月，提供成立之后被授权人相关月份的社保缴费证明）；</w:t>
            </w:r>
            <w:r>
              <w:rPr>
                <w:rFonts w:ascii="宋体" w:hAnsi="宋体" w:eastAsia="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一年</w:t>
            </w:r>
            <w:r>
              <w:rPr>
                <w:rFonts w:hint="eastAsia" w:ascii="宋体" w:hAnsi="宋体" w:cs="宋体"/>
                <w:color w:val="000000"/>
                <w:highlight w:val="none"/>
              </w:rPr>
              <w:t xml:space="preserve">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860"/>
                <w:rFonts w:hint="eastAsia" w:ascii="宋体" w:hAnsi="宋体" w:eastAsia="宋体" w:cs="宋体"/>
                <w:color w:val="000000"/>
                <w:highlight w:val="none"/>
              </w:rPr>
              <w:t xml:space="preserve">。</w:t>
            </w:r>
            <w:r>
              <w:rPr>
                <w:rFonts w:ascii="宋体" w:hAnsi="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一年</w:t>
            </w:r>
            <w:r>
              <w:rPr>
                <w:rFonts w:hint="eastAsia" w:ascii="宋体" w:hAnsi="宋体" w:cs="宋体"/>
                <w:color w:val="000000"/>
                <w:highlight w:val="none"/>
              </w:rPr>
              <w:t xml:space="preserve">任意一个月份（不含投标当月）的依法缴纳税收的相关材料（提供相关主管部门证明或银行代扣证明）。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一年</w:t>
            </w:r>
            <w:r>
              <w:rPr>
                <w:rFonts w:hint="eastAsia" w:ascii="宋体" w:hAnsi="宋体" w:cs="宋体"/>
                <w:color w:val="000000"/>
                <w:highlight w:val="none"/>
              </w:rPr>
              <w:t xml:space="preserve">中任意一个月份（不含投标当月）的依法缴纳社会保障资金的相关材料（提供相关主管部门证明或银行代扣证明）。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2449" w:type="dxa"/>
            <w:vAlign w:val="center"/>
            <w:vMerge w:val="continue"/>
            <w:textDirection w:val="lrTb"/>
            <w:noWrap w:val="false"/>
          </w:tcPr>
          <w:p>
            <w:pPr>
              <w:pStyle w:val="11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407"/>
        </w:trPr>
        <w:tc>
          <w:tcPr>
            <w:tcW w:w="719" w:type="dxa"/>
            <w:vAlign w:val="center"/>
            <w:textDirection w:val="lrTb"/>
            <w:noWrap w:val="false"/>
          </w:tcPr>
          <w:p>
            <w:pPr>
              <w:pStyle w:val="1167"/>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6104" w:type="dxa"/>
            <w:vAlign w:val="center"/>
            <w:textDirection w:val="lrTb"/>
            <w:noWrap w:val="false"/>
          </w:tcPr>
          <w:p>
            <w:pPr>
              <w:pStyle w:val="1167"/>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w:t>
            </w:r>
            <w:r>
              <w:rPr>
                <w:rFonts w:ascii="宋体" w:hAnsi="宋体" w:cs="宋体"/>
                <w:color w:val="000000"/>
                <w:highlight w:val="none"/>
              </w:rPr>
            </w:r>
            <w:r/>
          </w:p>
        </w:tc>
        <w:tc>
          <w:tcPr>
            <w:tcW w:w="2449" w:type="dxa"/>
            <w:vAlign w:val="center"/>
            <w:textDirection w:val="lrTb"/>
            <w:noWrap w:val="false"/>
          </w:tcPr>
          <w:p>
            <w:pPr>
              <w:pStyle w:val="1167"/>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1167"/>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tcW w:w="6104" w:type="dxa"/>
            <w:vAlign w:val="center"/>
            <w:textDirection w:val="lrTb"/>
            <w:noWrap w:val="false"/>
          </w:tcPr>
          <w:p>
            <w:pPr>
              <w:pStyle w:val="1167"/>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olor w:val="000000"/>
                <w:highlight w:val="none"/>
              </w:rPr>
              <w:t xml:space="preserve">供应商具备有效期内的</w:t>
            </w:r>
            <w:r>
              <w:rPr>
                <w:rFonts w:hint="eastAsia" w:ascii="宋体" w:hAnsi="宋体" w:eastAsia="宋体" w:cs="宋体"/>
                <w:color w:val="000000"/>
                <w:sz w:val="24"/>
                <w:highlight w:val="none"/>
                <w:lang w:eastAsia="zh-CN"/>
              </w:rPr>
              <w:t xml:space="preserve">《药品生产许可证》或《药品经营许可证》</w:t>
            </w:r>
            <w:r>
              <w:rPr>
                <w:rFonts w:ascii="宋体" w:hAnsi="宋体" w:cs="宋体"/>
                <w:bCs/>
                <w:color w:val="000000"/>
                <w:highlight w:val="none"/>
              </w:rPr>
            </w:r>
            <w:r/>
          </w:p>
        </w:tc>
        <w:tc>
          <w:tcPr>
            <w:tcW w:w="2449" w:type="dxa"/>
            <w:vAlign w:val="center"/>
            <w:textDirection w:val="lrTb"/>
            <w:noWrap w:val="false"/>
          </w:tcPr>
          <w:p>
            <w:pPr>
              <w:pStyle w:val="1167"/>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bl>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730"/>
        <w:numPr>
          <w:ilvl w:val="0"/>
          <w:numId w:val="14"/>
        </w:num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eastAsia="宋体" w:cs="宋体"/>
          <w:color w:val="000000"/>
          <w:sz w:val="24"/>
          <w:szCs w:val="24"/>
          <w:highlight w:val="none"/>
        </w:rPr>
      </w:r>
      <w:r/>
    </w:p>
    <w:p>
      <w:pPr>
        <w:pStyle w:val="730"/>
        <w:numPr>
          <w:ilvl w:val="0"/>
          <w:numId w:val="14"/>
        </w:num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rPr>
          <w:rFonts w:ascii="宋体" w:hAnsi="宋体" w:eastAsia="宋体" w:cs="宋体"/>
          <w:color w:val="000000"/>
          <w:sz w:val="24"/>
          <w:szCs w:val="24"/>
          <w:highlight w:val="none"/>
        </w:rPr>
      </w:r>
      <w:r/>
    </w:p>
    <w:p>
      <w:pPr>
        <w:pStyle w:val="730"/>
        <w:numPr>
          <w:ilvl w:val="0"/>
          <w:numId w:val="14"/>
        </w:num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上述资格证明文件第9项，如本项目有特定资格要求的（详见第一章《投标邀请》），须提供相应的特定资格证明文件。</w:t>
      </w:r>
      <w:r>
        <w:rPr>
          <w:rFonts w:ascii="宋体" w:hAnsi="宋体" w:eastAsia="宋体" w:cs="宋体"/>
          <w:color w:val="000000"/>
          <w:sz w:val="24"/>
          <w:szCs w:val="24"/>
          <w:highlight w:val="none"/>
        </w:rPr>
      </w:r>
      <w:r/>
    </w:p>
    <w:p>
      <w:pPr>
        <w:pStyle w:val="73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ascii="宋体" w:hAnsi="宋体" w:eastAsia="宋体" w:cs="宋体"/>
          <w:b/>
          <w:color w:val="000000"/>
          <w:sz w:val="28"/>
          <w:szCs w:val="28"/>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二、符合性证明文件及其他证明文件</w:t>
      </w:r>
      <w:r>
        <w:rPr>
          <w:rFonts w:ascii="宋体" w:hAnsi="宋体" w:eastAsia="宋体" w:cs="宋体"/>
          <w:b/>
          <w:color w:val="000000"/>
          <w:sz w:val="28"/>
          <w:szCs w:val="28"/>
          <w:highlight w:val="none"/>
        </w:rPr>
      </w:r>
      <w:r/>
    </w:p>
    <w:p>
      <w:pPr>
        <w:pStyle w:val="730"/>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p>
      <w:pPr>
        <w:pStyle w:val="768"/>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095" w:type="dxa"/>
            <w:vAlign w:val="center"/>
            <w:textDirection w:val="lrTb"/>
            <w:noWrap w:val="false"/>
          </w:tcPr>
          <w:p>
            <w:pPr>
              <w:pStyle w:val="11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评审项目及评审要求</w:t>
            </w:r>
            <w:r>
              <w:rPr>
                <w:rFonts w:ascii="宋体" w:hAnsi="宋体" w:cs="宋体"/>
                <w:b/>
                <w:color w:val="000000"/>
                <w:highlight w:val="none"/>
              </w:rPr>
            </w:r>
            <w:r/>
          </w:p>
        </w:tc>
        <w:tc>
          <w:tcPr>
            <w:tcW w:w="1979" w:type="dxa"/>
            <w:vAlign w:val="center"/>
            <w:textDirection w:val="lrTb"/>
            <w:noWrap w:val="false"/>
          </w:tcPr>
          <w:p>
            <w:pPr>
              <w:pStyle w:val="11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095" w:type="dxa"/>
            <w:vAlign w:val="center"/>
            <w:textDirection w:val="lrTb"/>
            <w:noWrap w:val="false"/>
          </w:tcPr>
          <w:p>
            <w:pPr>
              <w:pStyle w:val="11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投标函（给定格式）</w:t>
            </w:r>
            <w:r>
              <w:rPr>
                <w:rFonts w:ascii="宋体" w:hAnsi="宋体" w:cs="宋体"/>
                <w:color w:val="000000"/>
                <w:highlight w:val="none"/>
              </w:rPr>
            </w:r>
            <w:r/>
          </w:p>
        </w:tc>
        <w:tc>
          <w:tcPr>
            <w:tcW w:w="1979" w:type="dxa"/>
            <w:vAlign w:val="center"/>
            <w:vMerge w:val="restart"/>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商务符合性</w:t>
            </w:r>
            <w:r>
              <w:rPr>
                <w:rFonts w:ascii="宋体" w:hAnsi="宋体" w:cs="宋体"/>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095" w:type="dxa"/>
            <w:vAlign w:val="center"/>
            <w:textDirection w:val="lrTb"/>
            <w:noWrap w:val="false"/>
          </w:tcPr>
          <w:p>
            <w:pPr>
              <w:pStyle w:val="11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承诺书（给定格式）</w:t>
            </w:r>
            <w:r>
              <w:rPr>
                <w:rFonts w:ascii="宋体" w:hAnsi="宋体" w:cs="宋体"/>
                <w:color w:val="000000"/>
                <w:highlight w:val="none"/>
              </w:rPr>
            </w:r>
            <w:r/>
          </w:p>
        </w:tc>
        <w:tc>
          <w:tcPr>
            <w:tcW w:w="1979" w:type="dxa"/>
            <w:vAlign w:val="center"/>
            <w:vMerge w:val="continue"/>
            <w:textDirection w:val="lrTb"/>
            <w:noWrap w:val="false"/>
          </w:tcPr>
          <w:p>
            <w:pPr>
              <w:pStyle w:val="1167"/>
              <w:ind w:firstLine="0"/>
              <w:jc w:val="center"/>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095" w:type="dxa"/>
            <w:vAlign w:val="center"/>
            <w:textDirection w:val="lrTb"/>
            <w:noWrap w:val="false"/>
          </w:tcPr>
          <w:p>
            <w:pPr>
              <w:pStyle w:val="11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开标一览表（给定格式）</w:t>
            </w:r>
            <w:r>
              <w:rPr>
                <w:rFonts w:ascii="宋体" w:hAnsi="宋体" w:cs="宋体"/>
                <w:color w:val="000000"/>
                <w:highlight w:val="none"/>
              </w:rPr>
            </w:r>
            <w:r/>
          </w:p>
        </w:tc>
        <w:tc>
          <w:tcPr>
            <w:tcW w:w="1979" w:type="dxa"/>
            <w:vAlign w:val="center"/>
            <w:vMerge w:val="restart"/>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报价符合性</w:t>
            </w:r>
            <w:r>
              <w:rPr>
                <w:rFonts w:ascii="宋体" w:hAnsi="宋体" w:cs="宋体"/>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6095" w:type="dxa"/>
            <w:vAlign w:val="center"/>
            <w:textDirection w:val="lrTb"/>
            <w:noWrap w:val="false"/>
          </w:tcPr>
          <w:p>
            <w:pPr>
              <w:pStyle w:val="1167"/>
              <w:ind w:firstLine="0"/>
              <w:jc w:val="both"/>
              <w:spacing w:before="0" w:after="0" w:line="240" w:lineRule="auto"/>
              <w:rPr>
                <w:rFonts w:hint="eastAsia" w:ascii="宋体" w:hAnsi="宋体" w:cs="宋体"/>
                <w:color w:val="000000"/>
                <w:highlight w:val="none"/>
              </w:rPr>
            </w:pPr>
            <w:r>
              <w:rPr>
                <w:rFonts w:hint="eastAsia" w:ascii="宋体" w:hAnsi="宋体"/>
                <w:color w:val="000000"/>
                <w:highlight w:val="none"/>
              </w:rPr>
              <w:t xml:space="preserve">分项报价表（给定格式）</w:t>
            </w:r>
            <w:r>
              <w:rPr>
                <w:rFonts w:hint="eastAsia" w:ascii="宋体" w:hAnsi="宋体" w:cs="宋体"/>
                <w:color w:val="000000"/>
                <w:highlight w:val="none"/>
              </w:rPr>
            </w:r>
            <w:r/>
          </w:p>
        </w:tc>
        <w:tc>
          <w:tcPr>
            <w:tcW w:w="1979" w:type="dxa"/>
            <w:vAlign w:val="center"/>
            <w:vMerge w:val="continue"/>
            <w:textDirection w:val="lrTb"/>
            <w:noWrap w:val="false"/>
          </w:tcPr>
          <w:p>
            <w:pPr>
              <w:pStyle w:val="116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6095" w:type="dxa"/>
            <w:vAlign w:val="center"/>
            <w:textDirection w:val="lrTb"/>
            <w:noWrap w:val="false"/>
          </w:tcPr>
          <w:p>
            <w:pPr>
              <w:pStyle w:val="11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投标偏离表（给定格式）</w:t>
            </w:r>
            <w:r>
              <w:rPr>
                <w:rFonts w:ascii="宋体" w:hAnsi="宋体" w:cs="宋体"/>
                <w:color w:val="000000"/>
                <w:highlight w:val="none"/>
              </w:rPr>
            </w:r>
            <w:r/>
          </w:p>
        </w:tc>
        <w:tc>
          <w:tcPr>
            <w:tcW w:w="1979" w:type="dxa"/>
            <w:vAlign w:val="center"/>
            <w:vMerge w:val="restart"/>
            <w:textDirection w:val="lrTb"/>
            <w:noWrap w:val="false"/>
          </w:tcPr>
          <w:p>
            <w:pPr>
              <w:pStyle w:val="11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技术符合性</w:t>
            </w:r>
            <w:r>
              <w:rPr>
                <w:rFonts w:ascii="宋体" w:hAnsi="宋体" w:cs="宋体"/>
                <w:color w:val="000000"/>
                <w:highlight w:val="none"/>
              </w:rPr>
            </w:r>
            <w:r/>
          </w:p>
        </w:tc>
      </w:tr>
      <w:tr>
        <w:trPr>
          <w:cantSplit/>
          <w:trHeight w:val="567"/>
        </w:trPr>
        <w:tc>
          <w:tcPr>
            <w:tcW w:w="823" w:type="dxa"/>
            <w:vAlign w:val="center"/>
            <w:textDirection w:val="lrTb"/>
            <w:noWrap w:val="false"/>
          </w:tcPr>
          <w:p>
            <w:pPr>
              <w:pStyle w:val="1167"/>
              <w:ind w:firstLine="0"/>
              <w:jc w:val="center"/>
              <w:spacing w:before="0" w:after="0" w:line="24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6095" w:type="dxa"/>
            <w:vAlign w:val="center"/>
            <w:textDirection w:val="lrTb"/>
            <w:noWrap w:val="false"/>
          </w:tcPr>
          <w:p>
            <w:pPr>
              <w:pStyle w:val="11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《采购需求》中要求提供的证明材料（如有）</w:t>
            </w:r>
            <w:r>
              <w:rPr>
                <w:rFonts w:ascii="宋体" w:hAnsi="宋体" w:cs="宋体"/>
                <w:color w:val="000000"/>
                <w:highlight w:val="none"/>
              </w:rPr>
            </w:r>
            <w:r/>
          </w:p>
        </w:tc>
        <w:tc>
          <w:tcPr>
            <w:tcW w:w="1979" w:type="dxa"/>
            <w:vAlign w:val="center"/>
            <w:vMerge w:val="continue"/>
            <w:textDirection w:val="lrTb"/>
            <w:noWrap w:val="false"/>
          </w:tcPr>
          <w:p>
            <w:pPr>
              <w:pStyle w:val="1167"/>
              <w:ind w:firstLine="0"/>
              <w:jc w:val="center"/>
              <w:spacing w:before="0" w:after="0" w:line="240" w:lineRule="auto"/>
              <w:rPr>
                <w:rFonts w:ascii="宋体" w:hAnsi="宋体" w:cs="宋体"/>
                <w:color w:val="000000"/>
                <w:highlight w:val="none"/>
              </w:rPr>
            </w:pPr>
            <w:r>
              <w:rPr>
                <w:rFonts w:ascii="宋体" w:hAnsi="宋体" w:cs="宋体"/>
                <w:color w:val="000000"/>
                <w:highlight w:val="none"/>
              </w:rPr>
            </w:r>
            <w:r/>
          </w:p>
        </w:tc>
      </w:tr>
    </w:tbl>
    <w:p>
      <w:pPr>
        <w:pStyle w:val="73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30"/>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项必须按要求全部提供（有给定格式的，必须按给定格式的要求正确填报并提供），否则投标文件无效。</w:t>
      </w:r>
      <w:r>
        <w:rPr>
          <w:rFonts w:ascii="宋体" w:hAnsi="宋体"/>
          <w:color w:val="000000"/>
          <w:sz w:val="24"/>
          <w:szCs w:val="24"/>
          <w:highlight w:val="none"/>
        </w:rPr>
      </w:r>
      <w:r/>
    </w:p>
    <w:p>
      <w:pPr>
        <w:pStyle w:val="730"/>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w:t>
      </w:r>
      <w:r>
        <w:rPr>
          <w:rFonts w:hint="eastAsia" w:ascii="宋体" w:hAnsi="宋体" w:eastAsia="宋体" w:cs="Arial"/>
          <w:color w:val="000000"/>
          <w:sz w:val="24"/>
          <w:szCs w:val="24"/>
          <w:highlight w:val="none"/>
          <w:lang w:val="en-US" w:eastAsia="zh-CN"/>
        </w:rPr>
        <w:t xml:space="preserve">6</w:t>
      </w:r>
      <w:r>
        <w:rPr>
          <w:rFonts w:hint="eastAsia" w:ascii="宋体" w:hAnsi="宋体" w:cs="Arial"/>
          <w:color w:val="000000"/>
          <w:sz w:val="24"/>
          <w:szCs w:val="24"/>
          <w:highlight w:val="none"/>
        </w:rPr>
        <w:t xml:space="preserve">项，《采购需求》中如有要求提供证明材料的，须按要求提供，否则投标文件无效。</w:t>
      </w:r>
      <w:r>
        <w:rPr>
          <w:rFonts w:ascii="宋体" w:hAnsi="宋体"/>
          <w:color w:val="000000"/>
          <w:sz w:val="24"/>
          <w:szCs w:val="24"/>
          <w:highlight w:val="none"/>
        </w:rPr>
      </w:r>
      <w:r/>
    </w:p>
    <w:p>
      <w:pPr>
        <w:pStyle w:val="730"/>
        <w:rPr>
          <w:b/>
          <w:color w:val="000000"/>
          <w:sz w:val="28"/>
          <w:szCs w:val="28"/>
          <w:highlight w:val="none"/>
        </w:rPr>
      </w:pPr>
      <w:r>
        <w:rPr>
          <w:b/>
          <w:color w:val="000000"/>
          <w:sz w:val="28"/>
          <w:szCs w:val="28"/>
          <w:highlight w:val="none"/>
        </w:rPr>
      </w:r>
      <w:r/>
    </w:p>
    <w:p>
      <w:pPr>
        <w:pStyle w:val="730"/>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730"/>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730"/>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730"/>
        <w:ind w:firstLine="480"/>
        <w:spacing w:line="360" w:lineRule="auto"/>
        <w:rPr>
          <w:rFonts w:ascii="宋体" w:hAnsi="宋体" w:eastAsia="宋体" w:cs="宋体"/>
          <w:b/>
          <w:color w:val="000000"/>
          <w:sz w:val="30"/>
          <w:szCs w:val="30"/>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30"/>
          <w:szCs w:val="30"/>
          <w:highlight w:val="none"/>
        </w:rPr>
        <w:t xml:space="preserve">第二部分投标文件格式</w:t>
      </w:r>
      <w:r>
        <w:rPr>
          <w:rFonts w:ascii="宋体" w:hAnsi="宋体" w:eastAsia="宋体" w:cs="宋体"/>
          <w:b/>
          <w:color w:val="000000"/>
          <w:sz w:val="30"/>
          <w:szCs w:val="30"/>
          <w:highlight w:val="none"/>
        </w:rPr>
      </w:r>
      <w:r/>
    </w:p>
    <w:p>
      <w:pPr>
        <w:pStyle w:val="1167"/>
        <w:ind w:firstLine="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一、封面格式（参考格式）：</w:t>
      </w:r>
      <w:r>
        <w:rPr>
          <w:rFonts w:ascii="宋体" w:hAnsi="宋体" w:cs="宋体"/>
          <w:b/>
          <w:color w:val="000000"/>
          <w:sz w:val="28"/>
          <w:szCs w:val="28"/>
          <w:highlight w:val="none"/>
        </w:rPr>
      </w:r>
      <w:r/>
    </w:p>
    <w:p>
      <w:pPr>
        <w:pStyle w:val="730"/>
        <w:spacing w:line="360" w:lineRule="auto"/>
        <w:rPr>
          <w:rFonts w:ascii="宋体" w:hAnsi="宋体" w:eastAsia="宋体" w:cs="宋体"/>
          <w:bCs/>
          <w:color w:val="000000"/>
          <w:sz w:val="32"/>
          <w:highlight w:val="none"/>
        </w:rPr>
      </w:pPr>
      <w:r>
        <w:rPr>
          <w:rFonts w:ascii="宋体" w:hAnsi="宋体" w:eastAsia="宋体" w:cs="宋体"/>
          <w:bCs/>
          <w:color w:val="000000"/>
          <w:sz w:val="32"/>
          <w:highlight w:val="none"/>
        </w:rPr>
      </w:r>
      <w:r/>
    </w:p>
    <w:p>
      <w:pPr>
        <w:pStyle w:val="730"/>
        <w:jc w:val="center"/>
        <w:spacing w:line="360" w:lineRule="auto"/>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ascii="宋体" w:hAnsi="宋体" w:eastAsia="宋体" w:cs="宋体"/>
          <w:bCs/>
          <w:color w:val="000000"/>
          <w:sz w:val="52"/>
          <w:szCs w:val="52"/>
          <w:highlight w:val="none"/>
        </w:rPr>
      </w:r>
      <w:r/>
    </w:p>
    <w:p>
      <w:pPr>
        <w:pStyle w:val="730"/>
        <w:jc w:val="center"/>
        <w:spacing w:line="360" w:lineRule="auto"/>
        <w:rPr>
          <w:rFonts w:ascii="宋体" w:hAnsi="宋体" w:eastAsia="宋体" w:cs="宋体"/>
          <w:bCs/>
          <w:color w:val="000000"/>
          <w:sz w:val="72"/>
          <w:highlight w:val="none"/>
        </w:rPr>
      </w:pPr>
      <w:r>
        <w:rPr>
          <w:rFonts w:ascii="宋体" w:hAnsi="宋体" w:eastAsia="宋体" w:cs="宋体"/>
          <w:bCs/>
          <w:color w:val="000000"/>
          <w:sz w:val="72"/>
          <w:highlight w:val="none"/>
        </w:rPr>
      </w:r>
      <w:r/>
    </w:p>
    <w:p>
      <w:pPr>
        <w:pStyle w:val="730"/>
        <w:jc w:val="center"/>
        <w:spacing w:line="360" w:lineRule="auto"/>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ascii="宋体" w:hAnsi="宋体" w:eastAsia="宋体" w:cs="宋体"/>
          <w:bCs/>
          <w:color w:val="000000"/>
          <w:sz w:val="52"/>
          <w:szCs w:val="52"/>
          <w:highlight w:val="none"/>
        </w:rPr>
      </w:r>
      <w:r/>
    </w:p>
    <w:p>
      <w:pPr>
        <w:pStyle w:val="730"/>
        <w:jc w:val="center"/>
        <w:spacing w:line="360" w:lineRule="auto"/>
        <w:rPr>
          <w:rFonts w:ascii="宋体" w:hAnsi="宋体" w:eastAsia="宋体" w:cs="宋体"/>
          <w:bCs/>
          <w:color w:val="000000"/>
          <w:sz w:val="72"/>
          <w:highlight w:val="none"/>
        </w:rPr>
      </w:pPr>
      <w:r>
        <w:rPr>
          <w:rFonts w:ascii="宋体" w:hAnsi="宋体" w:eastAsia="宋体" w:cs="宋体"/>
          <w:bCs/>
          <w:color w:val="000000"/>
          <w:sz w:val="72"/>
          <w:highlight w:val="none"/>
        </w:rPr>
      </w:r>
      <w:r/>
    </w:p>
    <w:p>
      <w:pPr>
        <w:pStyle w:val="730"/>
        <w:jc w:val="center"/>
        <w:spacing w:line="360" w:lineRule="auto"/>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ascii="宋体" w:hAnsi="宋体" w:eastAsia="宋体" w:cs="宋体"/>
          <w:bCs/>
          <w:color w:val="000000"/>
          <w:sz w:val="52"/>
          <w:szCs w:val="52"/>
          <w:highlight w:val="none"/>
        </w:rPr>
      </w:r>
      <w:r/>
    </w:p>
    <w:p>
      <w:pPr>
        <w:pStyle w:val="730"/>
        <w:jc w:val="center"/>
        <w:spacing w:line="360" w:lineRule="auto"/>
        <w:rPr>
          <w:rFonts w:ascii="宋体" w:hAnsi="宋体" w:eastAsia="宋体" w:cs="宋体"/>
          <w:bCs/>
          <w:color w:val="000000"/>
          <w:sz w:val="52"/>
          <w:szCs w:val="52"/>
          <w:highlight w:val="none"/>
        </w:rPr>
      </w:pPr>
      <w:r>
        <w:rPr>
          <w:rFonts w:ascii="宋体" w:hAnsi="宋体" w:eastAsia="宋体" w:cs="宋体"/>
          <w:bCs/>
          <w:color w:val="000000"/>
          <w:sz w:val="52"/>
          <w:szCs w:val="52"/>
          <w:highlight w:val="none"/>
        </w:rPr>
      </w:r>
      <w:r/>
    </w:p>
    <w:p>
      <w:pPr>
        <w:pStyle w:val="730"/>
        <w:jc w:val="center"/>
        <w:spacing w:line="360" w:lineRule="auto"/>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ascii="宋体" w:hAnsi="宋体" w:eastAsia="宋体" w:cs="宋体"/>
          <w:bCs/>
          <w:color w:val="000000"/>
          <w:sz w:val="52"/>
          <w:szCs w:val="52"/>
          <w:highlight w:val="none"/>
        </w:rPr>
      </w:r>
      <w:r/>
    </w:p>
    <w:p>
      <w:pPr>
        <w:pStyle w:val="730"/>
        <w:spacing w:line="360" w:lineRule="auto"/>
        <w:rPr>
          <w:rFonts w:ascii="宋体" w:hAnsi="宋体" w:eastAsia="宋体" w:cs="宋体"/>
          <w:bCs/>
          <w:color w:val="000000"/>
          <w:sz w:val="28"/>
          <w:highlight w:val="none"/>
        </w:rPr>
      </w:pPr>
      <w:r>
        <w:rPr>
          <w:rFonts w:ascii="宋体" w:hAnsi="宋体" w:eastAsia="宋体" w:cs="宋体"/>
          <w:bCs/>
          <w:color w:val="000000"/>
          <w:sz w:val="28"/>
          <w:highlight w:val="none"/>
        </w:rPr>
      </w:r>
      <w:r/>
    </w:p>
    <w:p>
      <w:pPr>
        <w:pStyle w:val="730"/>
        <w:ind w:firstLine="2715"/>
        <w:spacing w:line="360" w:lineRule="auto"/>
        <w:rPr>
          <w:rFonts w:ascii="宋体" w:hAnsi="宋体" w:eastAsia="宋体" w:cs="宋体"/>
          <w:bCs/>
          <w:color w:val="000000"/>
          <w:sz w:val="28"/>
          <w:szCs w:val="28"/>
          <w:highlight w:val="none"/>
        </w:rPr>
      </w:pPr>
      <w:r/>
      <w:bookmarkStart w:id="146" w:name="_Hlk165208193"/>
      <w:r>
        <w:rPr>
          <w:rFonts w:hint="eastAsia" w:ascii="宋体" w:hAnsi="宋体" w:eastAsia="宋体" w:cs="宋体"/>
          <w:bCs/>
          <w:color w:val="000000"/>
          <w:sz w:val="28"/>
          <w:szCs w:val="28"/>
          <w:highlight w:val="none"/>
        </w:rPr>
        <w:t xml:space="preserve">采购项目编号： </w:t>
      </w:r>
      <w:r>
        <w:rPr>
          <w:rFonts w:ascii="宋体" w:hAnsi="宋体" w:eastAsia="宋体" w:cs="宋体"/>
          <w:bCs/>
          <w:color w:val="000000"/>
          <w:sz w:val="28"/>
          <w:szCs w:val="28"/>
          <w:highlight w:val="none"/>
        </w:rPr>
      </w:r>
      <w:r/>
    </w:p>
    <w:p>
      <w:pPr>
        <w:pStyle w:val="730"/>
        <w:ind w:firstLine="2703"/>
        <w:spacing w:line="360" w:lineRule="auto"/>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 </w:t>
      </w:r>
      <w:r>
        <w:rPr>
          <w:rFonts w:ascii="宋体" w:hAnsi="宋体" w:eastAsia="宋体" w:cs="宋体"/>
          <w:bCs/>
          <w:color w:val="000000"/>
          <w:sz w:val="28"/>
          <w:szCs w:val="28"/>
          <w:highlight w:val="none"/>
        </w:rPr>
      </w:r>
      <w:r/>
    </w:p>
    <w:p>
      <w:pPr>
        <w:pStyle w:val="730"/>
        <w:ind w:firstLine="2703"/>
        <w:spacing w:line="360" w:lineRule="auto"/>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 </w:t>
      </w:r>
      <w:r>
        <w:rPr>
          <w:rFonts w:ascii="宋体" w:hAnsi="宋体" w:eastAsia="宋体" w:cs="宋体"/>
          <w:bCs/>
          <w:color w:val="000000"/>
          <w:sz w:val="28"/>
          <w:szCs w:val="28"/>
          <w:highlight w:val="none"/>
        </w:rPr>
      </w:r>
      <w:r/>
    </w:p>
    <w:p>
      <w:pPr>
        <w:pStyle w:val="730"/>
        <w:jc w:val="center"/>
        <w:spacing w:line="360" w:lineRule="auto"/>
        <w:rPr>
          <w:rFonts w:ascii="宋体" w:hAnsi="宋体" w:eastAsia="宋体" w:cs="宋体"/>
          <w:bCs/>
          <w:color w:val="000000"/>
          <w:sz w:val="40"/>
          <w:szCs w:val="40"/>
          <w:highlight w:val="none"/>
        </w:rPr>
      </w:pPr>
      <w:r>
        <w:rPr>
          <w:rFonts w:ascii="宋体" w:hAnsi="宋体" w:eastAsia="宋体" w:cs="宋体"/>
          <w:bCs/>
          <w:color w:val="000000"/>
          <w:sz w:val="40"/>
          <w:szCs w:val="40"/>
          <w:highlight w:val="none"/>
        </w:rPr>
      </w:r>
      <w:r/>
    </w:p>
    <w:p>
      <w:pPr>
        <w:pStyle w:val="730"/>
        <w:jc w:val="center"/>
        <w:spacing w:line="360" w:lineRule="auto"/>
        <w:rPr>
          <w:rFonts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20   年   月</w:t>
      </w:r>
      <w:r>
        <w:rPr>
          <w:rFonts w:ascii="宋体" w:hAnsi="宋体" w:eastAsia="宋体" w:cs="宋体"/>
          <w:bCs/>
          <w:color w:val="000000"/>
          <w:sz w:val="28"/>
          <w:szCs w:val="28"/>
          <w:highlight w:val="none"/>
        </w:rPr>
      </w:r>
      <w:r/>
    </w:p>
    <w:p>
      <w:pPr>
        <w:pStyle w:val="730"/>
        <w:rPr>
          <w:rFonts w:ascii="宋体" w:hAnsi="宋体" w:eastAsia="宋体" w:cs="宋体"/>
          <w:b/>
          <w:color w:val="000000"/>
          <w:sz w:val="28"/>
          <w:szCs w:val="28"/>
          <w:highlight w:val="none"/>
        </w:rPr>
      </w:pPr>
      <w:r/>
      <w:bookmarkEnd w:id="146"/>
      <w:r>
        <w:rPr>
          <w:rFonts w:hint="eastAsia" w:ascii="宋体" w:hAnsi="宋体" w:eastAsia="宋体" w:cs="宋体"/>
          <w:b/>
          <w:color w:val="000000"/>
          <w:sz w:val="28"/>
          <w:szCs w:val="28"/>
          <w:highlight w:val="none"/>
        </w:rPr>
        <w:br w:type="page" w:clear="all"/>
      </w:r>
      <w:r>
        <w:rPr>
          <w:rFonts w:ascii="宋体" w:hAnsi="宋体" w:eastAsia="宋体" w:cs="宋体"/>
          <w:b/>
          <w:color w:val="000000"/>
          <w:sz w:val="28"/>
          <w:szCs w:val="28"/>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二、授权委托书（给定格式）：</w:t>
      </w:r>
      <w:r>
        <w:rPr>
          <w:rFonts w:ascii="宋体" w:hAnsi="宋体" w:eastAsia="宋体" w:cs="宋体"/>
          <w:b/>
          <w:color w:val="000000"/>
          <w:sz w:val="28"/>
          <w:szCs w:val="28"/>
          <w:highlight w:val="none"/>
        </w:rPr>
      </w:r>
      <w:r/>
    </w:p>
    <w:p>
      <w:pPr>
        <w:pStyle w:val="730"/>
        <w:jc w:val="center"/>
        <w:rPr>
          <w:rFonts w:hint="eastAsia" w:ascii="宋体" w:hAnsi="宋体" w:cs="宋体"/>
          <w:bCs/>
          <w:color w:val="000000"/>
          <w:sz w:val="24"/>
          <w:highlight w:val="none"/>
          <w:shd w:val="clear" w:color="ffffff" w:fill="d9d9d9"/>
        </w:rPr>
        <w:outlineLvl w:val="0"/>
      </w:pPr>
      <w:r>
        <w:rPr>
          <w:rFonts w:hint="eastAsia" w:ascii="宋体" w:hAnsi="宋体" w:cs="宋体"/>
          <w:bCs/>
          <w:color w:val="000000"/>
          <w:sz w:val="28"/>
          <w:szCs w:val="28"/>
          <w:highlight w:val="none"/>
        </w:rPr>
        <w:t xml:space="preserve">授权委托书</w:t>
      </w:r>
      <w:r>
        <w:rPr>
          <w:rFonts w:hint="eastAsia" w:ascii="宋体" w:hAnsi="宋体" w:cs="宋体"/>
          <w:bCs/>
          <w:color w:val="000000"/>
          <w:sz w:val="24"/>
          <w:highlight w:val="none"/>
          <w:shd w:val="clear" w:color="ffffff" w:fill="d9d9d9"/>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我公司（单位、联合体）针对</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项目，兹授权：</w:t>
      </w:r>
      <w:r>
        <w:rPr>
          <w:rFonts w:hint="eastAsia" w:ascii="宋体" w:hAnsi="宋体" w:eastAsia="宋体" w:cs="宋体"/>
          <w:b w:val="0"/>
          <w:bCs/>
          <w:color w:val="000000"/>
          <w:sz w:val="24"/>
          <w:szCs w:val="24"/>
          <w:highlight w:val="none"/>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b w:val="0"/>
          <w:bCs/>
          <w:color w:val="000000"/>
          <w:sz w:val="24"/>
          <w:szCs w:val="24"/>
          <w:highlight w:val="none"/>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rPr>
          <w:rFonts w:hint="eastAsia" w:ascii="宋体" w:hAnsi="宋体" w:eastAsia="宋体" w:cs="宋体"/>
          <w:b w:val="0"/>
          <w:bCs/>
          <w:color w:val="000000"/>
          <w:sz w:val="24"/>
          <w:szCs w:val="24"/>
          <w:highlight w:val="none"/>
        </w:rPr>
      </w:r>
      <w:r/>
    </w:p>
    <w:p>
      <w:pPr>
        <w:pStyle w:val="116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rPr>
          <w:rFonts w:hint="eastAsia" w:ascii="宋体" w:hAnsi="宋体" w:eastAsia="宋体" w:cs="宋体"/>
          <w:b w:val="0"/>
          <w:bCs/>
          <w:color w:val="000000"/>
          <w:sz w:val="24"/>
          <w:szCs w:val="24"/>
          <w:highlight w:val="none"/>
        </w:rPr>
      </w:r>
      <w:r/>
    </w:p>
    <w:p>
      <w:pPr>
        <w:pStyle w:val="1166"/>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rPr>
          <w:rFonts w:hint="eastAsia" w:ascii="宋体" w:hAnsi="宋体" w:eastAsia="宋体" w:cs="宋体"/>
          <w:b w:val="0"/>
          <w:bCs/>
          <w:color w:val="000000"/>
          <w:sz w:val="24"/>
          <w:szCs w:val="24"/>
          <w:highlight w:val="none"/>
          <w:u w:val="single"/>
        </w:rPr>
      </w:r>
      <w:r/>
    </w:p>
    <w:p>
      <w:pPr>
        <w:pStyle w:val="1166"/>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r>
      <w:r/>
    </w:p>
    <w:p>
      <w:pPr>
        <w:pStyle w:val="1166"/>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（被授权人身份证原件扫描件附后）</w:t>
      </w:r>
      <w:r>
        <w:rPr>
          <w:rFonts w:hint="eastAsia" w:ascii="宋体" w:hAnsi="宋体" w:eastAsia="宋体" w:cs="宋体"/>
          <w:color w:val="000000"/>
          <w:sz w:val="24"/>
          <w:szCs w:val="24"/>
          <w:highlight w:val="none"/>
        </w:rPr>
      </w:r>
      <w:r/>
    </w:p>
    <w:p>
      <w:pPr>
        <w:pStyle w:val="1166"/>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rPr>
          <w:rFonts w:hint="eastAsia" w:ascii="宋体" w:hAnsi="宋体" w:eastAsia="宋体" w:cs="宋体"/>
          <w:b w:val="0"/>
          <w:bCs/>
          <w:color w:val="000000"/>
          <w:sz w:val="24"/>
          <w:szCs w:val="24"/>
          <w:highlight w:val="none"/>
        </w:rPr>
      </w:r>
      <w:r/>
    </w:p>
    <w:p>
      <w:pPr>
        <w:pStyle w:val="1166"/>
        <w:numPr>
          <w:ilvl w:val="0"/>
          <w:numId w:val="15"/>
        </w:numPr>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若投标人为事业单位或其他组织或分支机构，则法定代表人处的签字人可为单位负责人。</w:t>
      </w:r>
      <w:r>
        <w:rPr>
          <w:rFonts w:hint="eastAsia" w:ascii="宋体" w:hAnsi="宋体" w:eastAsia="宋体" w:cs="宋体"/>
          <w:b w:val="0"/>
          <w:bCs/>
          <w:color w:val="000000"/>
          <w:sz w:val="24"/>
          <w:szCs w:val="24"/>
          <w:highlight w:val="none"/>
        </w:rPr>
      </w:r>
      <w:r/>
    </w:p>
    <w:p>
      <w:pPr>
        <w:pStyle w:val="1166"/>
        <w:numPr>
          <w:ilvl w:val="0"/>
          <w:numId w:val="15"/>
        </w:numPr>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当被授权人为法定代表人（或上述情况的单位负责人）时，只需在法定代表人处签字或盖章即可。</w:t>
      </w:r>
      <w:r>
        <w:rPr>
          <w:rFonts w:hint="eastAsia" w:ascii="宋体" w:hAnsi="宋体" w:eastAsia="宋体" w:cs="宋体"/>
          <w:b w:val="0"/>
          <w:bCs/>
          <w:color w:val="000000"/>
          <w:sz w:val="24"/>
          <w:szCs w:val="24"/>
          <w:highlight w:val="none"/>
        </w:rPr>
      </w:r>
      <w:r/>
    </w:p>
    <w:p>
      <w:pPr>
        <w:pStyle w:val="1166"/>
        <w:numPr>
          <w:ilvl w:val="0"/>
          <w:numId w:val="15"/>
        </w:numPr>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供应商为自然人情形的，可不提供本《授权委托书》。</w:t>
      </w:r>
      <w:r>
        <w:rPr>
          <w:rFonts w:hint="eastAsia" w:ascii="宋体" w:hAnsi="宋体" w:eastAsia="宋体" w:cs="宋体"/>
          <w:b w:val="0"/>
          <w:bCs/>
          <w:color w:val="000000"/>
          <w:sz w:val="24"/>
          <w:szCs w:val="24"/>
          <w:highlight w:val="none"/>
        </w:rPr>
      </w:r>
      <w:r/>
    </w:p>
    <w:p>
      <w:pPr>
        <w:pStyle w:val="730"/>
        <w:jc w:val="left"/>
        <w:spacing w:line="360" w:lineRule="auto"/>
        <w:rPr>
          <w:rFonts w:ascii="黑体" w:eastAsia="黑体"/>
          <w:bCs/>
          <w:color w:val="000000"/>
          <w:sz w:val="28"/>
          <w:szCs w:val="28"/>
          <w:highlight w:val="none"/>
        </w:rPr>
        <w:outlineLvl w:val="0"/>
      </w:pPr>
      <w:r>
        <w:rPr>
          <w:rFonts w:hint="eastAsia" w:ascii="宋体" w:hAnsi="宋体" w:cs="宋体"/>
          <w:bCs/>
          <w:color w:val="000000"/>
          <w:sz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黑体" w:eastAsia="黑体"/>
          <w:bCs/>
          <w:color w:val="000000"/>
          <w:sz w:val="28"/>
          <w:szCs w:val="28"/>
          <w:highlight w:val="none"/>
        </w:rPr>
      </w:r>
      <w:r/>
    </w:p>
    <w:p>
      <w:pPr>
        <w:pStyle w:val="1166"/>
        <w:ind w:firstLine="0"/>
        <w:tabs>
          <w:tab w:val="left" w:pos="360" w:leader="none"/>
        </w:tabs>
        <w:rPr>
          <w:rFonts w:ascii="宋体" w:hAnsi="宋体" w:cs="宋体"/>
          <w:b/>
          <w:color w:val="000000"/>
          <w:szCs w:val="28"/>
          <w:highlight w:val="none"/>
        </w:rPr>
      </w:pPr>
      <w:r>
        <w:rPr>
          <w:rFonts w:hint="eastAsia" w:ascii="宋体" w:hAnsi="宋体" w:cs="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730"/>
        <w:jc w:val="center"/>
        <w:rPr>
          <w:rFonts w:ascii="宋体" w:hAnsi="宋体" w:eastAsia="宋体" w:cs="宋体"/>
          <w:bCs/>
          <w:color w:val="000000"/>
          <w:sz w:val="28"/>
          <w:szCs w:val="28"/>
          <w:highlight w:val="none"/>
        </w:rPr>
        <w:outlineLvl w:val="0"/>
      </w:pPr>
      <w:r/>
      <w:bookmarkStart w:id="147" w:name="报价方关于资格的声明函（格式）"/>
      <w:r/>
      <w:bookmarkEnd w:id="147"/>
      <w:r>
        <w:rPr>
          <w:rFonts w:hint="eastAsia" w:ascii="宋体" w:hAnsi="宋体" w:eastAsia="宋体" w:cs="宋体"/>
          <w:bCs/>
          <w:color w:val="000000"/>
          <w:sz w:val="28"/>
          <w:szCs w:val="28"/>
          <w:highlight w:val="none"/>
        </w:rPr>
        <w:t xml:space="preserve">资格声明函</w:t>
      </w:r>
      <w:r>
        <w:rPr>
          <w:rFonts w:ascii="宋体" w:hAnsi="宋体" w:eastAsia="宋体" w:cs="宋体"/>
          <w:bCs/>
          <w:color w:val="000000"/>
          <w:sz w:val="28"/>
          <w:szCs w:val="28"/>
          <w:highlight w:val="none"/>
        </w:rPr>
      </w:r>
      <w:r/>
    </w:p>
    <w:p>
      <w:pPr>
        <w:pStyle w:val="730"/>
        <w:jc w:val="center"/>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普信国际工程咨询有限公司：</w:t>
      </w:r>
      <w:r>
        <w:rPr>
          <w:rFonts w:ascii="宋体" w:hAnsi="宋体" w:eastAsia="宋体" w:cs="宋体"/>
          <w:bCs/>
          <w:color w:val="000000"/>
          <w:sz w:val="24"/>
          <w:szCs w:val="24"/>
          <w:highlight w:val="none"/>
        </w:rPr>
      </w:r>
      <w:r/>
    </w:p>
    <w:p>
      <w:pPr>
        <w:pStyle w:val="730"/>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我公司（单位、联合体）针对本次项目进行投标，并作如下声明</w:t>
      </w:r>
      <w:r>
        <w:rPr>
          <w:rFonts w:ascii="宋体" w:hAnsi="宋体" w:eastAsia="宋体" w:cs="宋体"/>
          <w:bCs/>
          <w:color w:val="000000"/>
          <w:sz w:val="24"/>
          <w:szCs w:val="24"/>
          <w:highlight w:val="none"/>
        </w:rPr>
      </w:r>
      <w:r/>
    </w:p>
    <w:p>
      <w:pPr>
        <w:pStyle w:val="730"/>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bCs/>
          <w:color w:val="000000"/>
          <w:sz w:val="24"/>
          <w:szCs w:val="24"/>
          <w:highlight w:val="none"/>
        </w:rPr>
      </w:r>
      <w:r/>
    </w:p>
    <w:p>
      <w:pPr>
        <w:pStyle w:val="730"/>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2.本公司（单位、联合体）具备本次项目履行合同所必需的设备和专业技术能力。</w:t>
      </w:r>
      <w:r>
        <w:rPr>
          <w:rFonts w:ascii="宋体" w:hAnsi="宋体" w:eastAsia="宋体" w:cs="宋体"/>
          <w:bCs/>
          <w:color w:val="000000"/>
          <w:sz w:val="24"/>
          <w:szCs w:val="24"/>
          <w:highlight w:val="none"/>
        </w:rPr>
      </w:r>
      <w:r/>
    </w:p>
    <w:p>
      <w:pPr>
        <w:pStyle w:val="730"/>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ascii="宋体" w:hAnsi="宋体" w:eastAsia="宋体" w:cs="宋体"/>
          <w:bCs/>
          <w:color w:val="000000"/>
          <w:sz w:val="24"/>
          <w:szCs w:val="24"/>
          <w:highlight w:val="none"/>
        </w:rPr>
      </w:r>
      <w:r/>
    </w:p>
    <w:p>
      <w:pPr>
        <w:pStyle w:val="730"/>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宋体" w:eastAsia="宋体" w:cs="宋体"/>
          <w:bCs/>
          <w:color w:val="000000"/>
          <w:sz w:val="24"/>
          <w:szCs w:val="24"/>
          <w:highlight w:val="none"/>
        </w:rPr>
      </w:r>
      <w:r/>
    </w:p>
    <w:p>
      <w:pPr>
        <w:pStyle w:val="73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ascii="宋体" w:hAnsi="宋体" w:eastAsia="宋体" w:cs="宋体"/>
          <w:bCs/>
          <w:color w:val="000000"/>
          <w:sz w:val="24"/>
          <w:szCs w:val="24"/>
          <w:highlight w:val="none"/>
        </w:rPr>
      </w:r>
      <w:r/>
    </w:p>
    <w:p>
      <w:pPr>
        <w:pStyle w:val="73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ascii="宋体" w:hAnsi="宋体" w:eastAsia="宋体" w:cs="宋体"/>
          <w:color w:val="000000"/>
          <w:sz w:val="24"/>
          <w:highlight w:val="none"/>
        </w:rPr>
      </w:r>
      <w:r/>
    </w:p>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730"/>
        <w:jc w:val="left"/>
        <w:spacing w:line="360" w:lineRule="auto"/>
        <w:rPr>
          <w:rFonts w:ascii="宋体" w:hAnsi="宋体" w:eastAsia="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 </w:t>
      </w:r>
      <w:r>
        <w:rPr>
          <w:rFonts w:ascii="宋体" w:hAnsi="宋体" w:eastAsia="宋体" w:cs="宋体"/>
          <w:b/>
          <w:color w:val="000000"/>
          <w:sz w:val="28"/>
          <w:szCs w:val="28"/>
          <w:highlight w:val="none"/>
        </w:rPr>
      </w:r>
      <w:r/>
    </w:p>
    <w:p>
      <w:pPr>
        <w:pStyle w:val="730"/>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3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根据《政府采购促进中小企业发展管理办法》（财库﹝2020﹞46 号）的规定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服务全部由符合政策要求的中小企业承接</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相关企业（含联合体中的中小企业、签订分包意向协议的中小企业）的具体情况如下：</w:t>
      </w:r>
      <w:r>
        <w:rPr>
          <w:rFonts w:ascii="宋体" w:hAnsi="宋体"/>
          <w:bCs/>
          <w:color w:val="000000"/>
          <w:sz w:val="24"/>
          <w:szCs w:val="24"/>
          <w:highlight w:val="none"/>
        </w:rPr>
      </w:r>
      <w:r/>
    </w:p>
    <w:p>
      <w:pPr>
        <w:pStyle w:val="730"/>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730"/>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w:t>
      </w:r>
      <w:r>
        <w:rPr>
          <w:rFonts w:hint="eastAsia" w:ascii="宋体" w:hAnsi="宋体" w:eastAsia="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73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30"/>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以上企业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不属于大企业的分支机构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不存在控股股东为大企业的情形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也不存在与大企业的负责人为同一人的情形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本企业对上述声明内容的真实性负责</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如有虚假</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将依 法承担相应责任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730"/>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30"/>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30"/>
        <w:ind w:firstLine="420"/>
        <w:spacing w:line="360" w:lineRule="auto"/>
        <w:rPr>
          <w:color w:val="000000"/>
          <w:highlight w:val="none"/>
        </w:rPr>
      </w:pPr>
      <w:r>
        <w:rPr>
          <w:color w:val="000000"/>
          <w:highlight w:val="none"/>
        </w:rPr>
      </w:r>
      <w:r/>
    </w:p>
    <w:p>
      <w:pPr>
        <w:pStyle w:val="730"/>
        <w:ind w:firstLine="420"/>
        <w:spacing w:line="360" w:lineRule="auto"/>
        <w:rPr>
          <w:rFonts w:hint="eastAsia" w:eastAsia="宋体"/>
          <w:color w:val="000000"/>
          <w:highlight w:val="none"/>
          <w:lang w:eastAsia="zh-CN"/>
        </w:rPr>
      </w:pPr>
      <w:r>
        <w:rPr>
          <w:rFonts w:hint="eastAsia"/>
          <w:color w:val="000000"/>
          <w:highlight w:val="none"/>
        </w:rPr>
        <w:t xml:space="preserve">注：（1）项目技术要求中如对本项目标的及其所属行业进行逐一列明的</w:t>
      </w:r>
      <w:r>
        <w:rPr>
          <w:rFonts w:hint="eastAsia"/>
          <w:color w:val="000000"/>
          <w:highlight w:val="none"/>
          <w:lang w:eastAsia="zh-CN"/>
        </w:rPr>
        <w:t xml:space="preserve">，</w:t>
      </w:r>
      <w:r>
        <w:rPr>
          <w:rFonts w:hint="eastAsia"/>
          <w:color w:val="000000"/>
          <w:highlight w:val="none"/>
        </w:rPr>
        <w:t xml:space="preserve">投标人须根据项目技术要求中所列明的标的及其所属行业逐一进行填报</w:t>
      </w:r>
      <w:r>
        <w:rPr>
          <w:rFonts w:hint="eastAsia"/>
          <w:color w:val="000000"/>
          <w:highlight w:val="none"/>
          <w:lang w:eastAsia="zh-CN"/>
        </w:rPr>
        <w:t xml:space="preserve">。</w:t>
      </w:r>
      <w:r>
        <w:rPr>
          <w:rFonts w:hint="eastAsia"/>
          <w:color w:val="000000"/>
          <w:highlight w:val="none"/>
        </w:rPr>
        <w:t xml:space="preserve">根据本《中小企业声明函》类型</w:t>
      </w:r>
      <w:r>
        <w:rPr>
          <w:rFonts w:hint="eastAsia"/>
          <w:color w:val="000000"/>
          <w:highlight w:val="none"/>
          <w:lang w:eastAsia="zh-CN"/>
        </w:rPr>
        <w:t xml:space="preserve">，</w:t>
      </w:r>
      <w:r>
        <w:rPr>
          <w:rFonts w:hint="eastAsia"/>
          <w:color w:val="000000"/>
          <w:highlight w:val="none"/>
        </w:rPr>
        <w:t xml:space="preserve">项目属性为服务类的</w:t>
      </w:r>
      <w:r>
        <w:rPr>
          <w:rFonts w:hint="eastAsia"/>
          <w:color w:val="000000"/>
          <w:highlight w:val="none"/>
          <w:lang w:eastAsia="zh-CN"/>
        </w:rPr>
        <w:t xml:space="preserve">，只需按</w:t>
      </w:r>
      <w:r>
        <w:rPr>
          <w:rFonts w:hint="eastAsia"/>
          <w:color w:val="000000"/>
          <w:highlight w:val="none"/>
        </w:rPr>
        <w:t xml:space="preserve">项目技术要求中的服务部分标的及其所属行业逐一进行填报</w:t>
      </w:r>
      <w:r>
        <w:rPr>
          <w:rFonts w:hint="eastAsia"/>
          <w:color w:val="000000"/>
          <w:highlight w:val="none"/>
          <w:lang w:eastAsia="zh-CN"/>
        </w:rPr>
        <w:t xml:space="preserve">，</w:t>
      </w:r>
      <w:r>
        <w:rPr>
          <w:rFonts w:hint="eastAsia"/>
          <w:color w:val="000000"/>
          <w:highlight w:val="none"/>
        </w:rPr>
        <w:t xml:space="preserve">“企业名称”应填报为提供该项服务的承建（承接）商</w:t>
      </w:r>
      <w:r>
        <w:rPr>
          <w:rFonts w:hint="eastAsia"/>
          <w:color w:val="000000"/>
          <w:highlight w:val="none"/>
          <w:lang w:eastAsia="zh-CN"/>
        </w:rPr>
        <w:t xml:space="preserve">。</w:t>
      </w:r>
      <w:r>
        <w:rPr>
          <w:rFonts w:hint="eastAsia"/>
          <w:color w:val="000000"/>
          <w:highlight w:val="none"/>
        </w:rPr>
        <w:t xml:space="preserve">专门面向中小企业的项目投标人未按上述要求逐一进行填报的将被视为无效投标文件</w:t>
      </w:r>
      <w:r>
        <w:rPr>
          <w:rFonts w:hint="eastAsia"/>
          <w:color w:val="000000"/>
          <w:highlight w:val="none"/>
          <w:lang w:eastAsia="zh-CN"/>
        </w:rPr>
        <w:t xml:space="preserve">；</w:t>
      </w:r>
      <w:r>
        <w:rPr>
          <w:rFonts w:hint="eastAsia"/>
          <w:color w:val="000000"/>
          <w:highlight w:val="none"/>
        </w:rPr>
        <w:t xml:space="preserve">非专门面向中小企业的项目投标人未按上述要求逐一进行填报的将不进行中、小、微型企业认定</w:t>
      </w:r>
      <w:r>
        <w:rPr>
          <w:rFonts w:hint="eastAsia"/>
          <w:color w:val="000000"/>
          <w:highlight w:val="none"/>
          <w:lang w:eastAsia="zh-CN"/>
        </w:rPr>
        <w:t xml:space="preserve">。</w:t>
      </w:r>
      <w:r>
        <w:rPr>
          <w:rFonts w:hint="eastAsia" w:eastAsia="宋体"/>
          <w:color w:val="000000"/>
          <w:highlight w:val="none"/>
          <w:lang w:eastAsia="zh-CN"/>
        </w:rPr>
      </w:r>
      <w:r/>
    </w:p>
    <w:p>
      <w:pPr>
        <w:pStyle w:val="730"/>
        <w:ind w:firstLine="420"/>
        <w:spacing w:line="360" w:lineRule="auto"/>
        <w:rPr>
          <w:rFonts w:hint="eastAsia" w:eastAsia="宋体"/>
          <w:color w:val="000000"/>
          <w:highlight w:val="none"/>
          <w:lang w:eastAsia="zh-CN"/>
        </w:rPr>
      </w:pPr>
      <w:r>
        <w:rPr>
          <w:rFonts w:hint="eastAsia"/>
          <w:color w:val="000000"/>
          <w:highlight w:val="none"/>
        </w:rPr>
        <w:t xml:space="preserve">（2）</w:t>
      </w:r>
      <w:r>
        <w:rPr>
          <w:color w:val="000000"/>
          <w:highlight w:val="none"/>
        </w:rPr>
        <w:t xml:space="preserve">从业人员、营业收入、资产总额填报上一年度数据</w:t>
      </w:r>
      <w:r>
        <w:rPr>
          <w:rFonts w:hint="eastAsia"/>
          <w:color w:val="000000"/>
          <w:highlight w:val="none"/>
          <w:lang w:eastAsia="zh-CN"/>
        </w:rPr>
        <w:t xml:space="preserve">，</w:t>
      </w:r>
      <w:r>
        <w:rPr>
          <w:color w:val="000000"/>
          <w:highlight w:val="none"/>
        </w:rPr>
        <w:t xml:space="preserve">无上一年度数据的新成立企业可不填报</w:t>
      </w:r>
      <w:r>
        <w:rPr>
          <w:rFonts w:hint="eastAsia"/>
          <w:color w:val="000000"/>
          <w:highlight w:val="none"/>
          <w:lang w:eastAsia="zh-CN"/>
        </w:rPr>
        <w:t xml:space="preserve">。</w:t>
      </w:r>
      <w:r>
        <w:rPr>
          <w:rFonts w:hint="eastAsia" w:eastAsia="宋体"/>
          <w:color w:val="000000"/>
          <w:highlight w:val="none"/>
          <w:lang w:eastAsia="zh-CN"/>
        </w:rPr>
      </w:r>
      <w:r/>
    </w:p>
    <w:p>
      <w:pPr>
        <w:pStyle w:val="730"/>
        <w:ind w:firstLine="420"/>
        <w:spacing w:line="360" w:lineRule="auto"/>
        <w:rPr>
          <w:rFonts w:hint="eastAsia" w:eastAsia="宋体"/>
          <w:color w:val="000000"/>
          <w:highlight w:val="none"/>
          <w:lang w:eastAsia="zh-CN"/>
        </w:rPr>
      </w:pPr>
      <w:r>
        <w:rPr>
          <w:rFonts w:hint="eastAsia"/>
          <w:color w:val="000000"/>
          <w:highlight w:val="none"/>
        </w:rPr>
        <w:t xml:space="preserve">（3）</w:t>
      </w:r>
      <w:r>
        <w:rPr>
          <w:rFonts w:hint="eastAsia"/>
          <w:color w:val="000000"/>
          <w:highlight w:val="none"/>
          <w:lang w:eastAsia="zh-CN"/>
        </w:rPr>
        <w:t xml:space="preserve">中标人</w:t>
      </w:r>
      <w:r>
        <w:rPr>
          <w:rFonts w:hint="eastAsia"/>
          <w:color w:val="000000"/>
          <w:highlight w:val="none"/>
        </w:rPr>
        <w:t xml:space="preserve">的《</w:t>
      </w:r>
      <w:r>
        <w:rPr>
          <w:color w:val="000000"/>
          <w:highlight w:val="none"/>
        </w:rPr>
        <w:t xml:space="preserve">中小企业声明函</w:t>
      </w:r>
      <w:r>
        <w:rPr>
          <w:rFonts w:hint="eastAsia"/>
          <w:color w:val="000000"/>
          <w:highlight w:val="none"/>
        </w:rPr>
        <w:t xml:space="preserve">》将随中标公告进行公示</w:t>
      </w:r>
      <w:r>
        <w:rPr>
          <w:rFonts w:hint="eastAsia"/>
          <w:color w:val="000000"/>
          <w:highlight w:val="none"/>
          <w:lang w:eastAsia="zh-CN"/>
        </w:rPr>
        <w:t xml:space="preserve">。</w:t>
      </w:r>
      <w:r>
        <w:rPr>
          <w:rFonts w:hint="eastAsia"/>
          <w:color w:val="000000"/>
          <w:highlight w:val="none"/>
        </w:rPr>
        <w:t xml:space="preserve">供应商按照本办法规定提供声明函内容不实的</w:t>
      </w:r>
      <w:r>
        <w:rPr>
          <w:rFonts w:hint="eastAsia"/>
          <w:color w:val="000000"/>
          <w:highlight w:val="none"/>
          <w:lang w:eastAsia="zh-CN"/>
        </w:rPr>
        <w:t xml:space="preserve">，</w:t>
      </w:r>
      <w:r>
        <w:rPr>
          <w:rFonts w:hint="eastAsia"/>
          <w:color w:val="000000"/>
          <w:highlight w:val="none"/>
        </w:rPr>
        <w:t xml:space="preserve">属于提供虚假材料谋取中标、成交</w:t>
      </w:r>
      <w:r>
        <w:rPr>
          <w:rFonts w:hint="eastAsia"/>
          <w:color w:val="000000"/>
          <w:highlight w:val="none"/>
          <w:lang w:eastAsia="zh-CN"/>
        </w:rPr>
        <w:t xml:space="preserve">，</w:t>
      </w:r>
      <w:r>
        <w:rPr>
          <w:rFonts w:hint="eastAsia"/>
          <w:color w:val="000000"/>
          <w:highlight w:val="none"/>
        </w:rPr>
        <w:t xml:space="preserve">依照《中华人民共和国政府采购法》等国家有关规定追究相应责任</w:t>
      </w:r>
      <w:r>
        <w:rPr>
          <w:rFonts w:hint="eastAsia"/>
          <w:color w:val="000000"/>
          <w:highlight w:val="none"/>
          <w:lang w:eastAsia="zh-CN"/>
        </w:rPr>
        <w:t xml:space="preserve">。</w:t>
      </w:r>
      <w:r>
        <w:rPr>
          <w:rFonts w:hint="eastAsia" w:eastAsia="宋体"/>
          <w:color w:val="000000"/>
          <w:highlight w:val="none"/>
          <w:lang w:eastAsia="zh-CN"/>
        </w:rPr>
      </w:r>
      <w:r/>
    </w:p>
    <w:p>
      <w:pPr>
        <w:pStyle w:val="73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五、残疾人福利性单位声明函（给定格式）：</w:t>
      </w:r>
      <w:r>
        <w:rPr>
          <w:rFonts w:ascii="宋体" w:hAnsi="宋体" w:eastAsia="宋体" w:cs="宋体"/>
          <w:b/>
          <w:color w:val="000000"/>
          <w:sz w:val="28"/>
          <w:szCs w:val="28"/>
          <w:highlight w:val="none"/>
        </w:rPr>
      </w:r>
      <w:r/>
    </w:p>
    <w:p>
      <w:pPr>
        <w:pStyle w:val="730"/>
        <w:ind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730"/>
        <w:jc w:val="center"/>
        <w:spacing w:line="360" w:lineRule="auto"/>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ascii="宋体" w:hAnsi="宋体" w:eastAsia="宋体" w:cs="宋体"/>
          <w:bCs/>
          <w:color w:val="000000"/>
          <w:sz w:val="28"/>
          <w:szCs w:val="28"/>
          <w:highlight w:val="none"/>
        </w:rPr>
      </w:r>
      <w:r/>
    </w:p>
    <w:p>
      <w:pPr>
        <w:pStyle w:val="730"/>
        <w:jc w:val="cente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ascii="宋体" w:hAnsi="宋体" w:eastAsia="宋体" w:cs="宋体"/>
          <w:bCs/>
          <w:color w:val="000000"/>
          <w:sz w:val="24"/>
          <w:szCs w:val="24"/>
          <w:highlight w:val="none"/>
        </w:rPr>
      </w:r>
      <w:r/>
    </w:p>
    <w:p>
      <w:pPr>
        <w:pStyle w:val="73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ascii="宋体" w:hAnsi="宋体" w:eastAsia="宋体" w:cs="宋体"/>
          <w:b/>
          <w:color w:val="000000"/>
          <w:sz w:val="28"/>
          <w:szCs w:val="28"/>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六、投标函（给定格式）：</w:t>
      </w:r>
      <w:r>
        <w:rPr>
          <w:rFonts w:ascii="宋体" w:hAnsi="宋体" w:eastAsia="宋体" w:cs="宋体"/>
          <w:b/>
          <w:color w:val="000000"/>
          <w:sz w:val="28"/>
          <w:szCs w:val="28"/>
          <w:highlight w:val="none"/>
        </w:rPr>
      </w:r>
      <w:r/>
    </w:p>
    <w:p>
      <w:pPr>
        <w:pStyle w:val="730"/>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rPr>
          <w:rFonts w:ascii="宋体" w:hAnsi="宋体" w:eastAsia="宋体" w:cs="宋体"/>
          <w:bCs/>
          <w:color w:val="000000"/>
          <w:sz w:val="24"/>
          <w:szCs w:val="24"/>
          <w:highlight w:val="none"/>
        </w:rPr>
      </w:r>
      <w:r/>
    </w:p>
    <w:p>
      <w:pPr>
        <w:pStyle w:val="730"/>
        <w:spacing w:line="312"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致普信国际工程咨询有限公司：</w:t>
      </w:r>
      <w:r>
        <w:rPr>
          <w:rFonts w:ascii="宋体" w:hAnsi="宋体" w:eastAsia="宋体" w:cs="宋体"/>
          <w:bCs/>
          <w:color w:val="000000"/>
          <w:sz w:val="24"/>
          <w:szCs w:val="24"/>
          <w:highlight w:val="none"/>
        </w:rPr>
      </w:r>
      <w:r/>
    </w:p>
    <w:p>
      <w:pPr>
        <w:pStyle w:val="730"/>
        <w:ind w:firstLine="480"/>
        <w:spacing w:line="312"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我方收到贵方编号招标文件，经仔细阅读和研究，我方决定参加此项目的投标。</w:t>
      </w:r>
      <w:r>
        <w:rPr>
          <w:rFonts w:ascii="宋体" w:hAnsi="宋体" w:eastAsia="宋体" w:cs="宋体"/>
          <w:bCs/>
          <w:color w:val="000000"/>
          <w:sz w:val="24"/>
          <w:szCs w:val="24"/>
          <w:highlight w:val="none"/>
        </w:rPr>
      </w:r>
      <w:r/>
    </w:p>
    <w:p>
      <w:pPr>
        <w:pStyle w:val="730"/>
        <w:numPr>
          <w:ilvl w:val="0"/>
          <w:numId w:val="16"/>
        </w:numPr>
        <w:ind w:left="-105" w:firstLine="525"/>
        <w:spacing w:line="312" w:lineRule="auto"/>
        <w:tabs>
          <w:tab w:val="left" w:pos="315" w:leader="none"/>
          <w:tab w:val="left" w:pos="552" w:leader="none"/>
          <w:tab w:val="left" w:pos="840" w:leader="none"/>
          <w:tab w:val="left" w:pos="945" w:leader="none"/>
          <w:tab w:val="left" w:pos="105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我方愿意按照招标文件的一切要求，提供本项目的投标，投标优惠率见《开标一览表》。</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161"/>
          <w:bCs/>
          <w:color w:val="000000"/>
          <w:highlight w:val="none"/>
        </w:rPr>
      </w:pPr>
      <w:r>
        <w:rPr>
          <w:rFonts w:hint="eastAsia" w:ascii="宋体" w:hAnsi="宋体" w:eastAsia="宋体" w:cs="宋体"/>
          <w:bCs/>
          <w:color w:val="000000"/>
          <w:sz w:val="24"/>
          <w:szCs w:val="24"/>
          <w:highlight w:val="none"/>
        </w:rPr>
        <w:t xml:space="preserve">我方愿意提供普信国际工程咨询有限公司在招标文件中要求的文件、资料。</w:t>
      </w:r>
      <w:r>
        <w:rPr>
          <w:rStyle w:val="1161"/>
          <w:bCs/>
          <w:color w:val="000000"/>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我方同意按照招标文件中的规定，从规定的开标日期起遵循本投标文件，并在规定的投标有效期期满之前均具有约束力。</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bCs/>
          <w:color w:val="000000"/>
          <w:sz w:val="24"/>
          <w:szCs w:val="24"/>
          <w:highlight w:val="none"/>
        </w:rPr>
      </w:r>
      <w:r/>
    </w:p>
    <w:p>
      <w:pPr>
        <w:pStyle w:val="730"/>
        <w:numPr>
          <w:ilvl w:val="0"/>
          <w:numId w:val="16"/>
        </w:numPr>
        <w:ind w:left="-105" w:firstLine="523"/>
        <w:spacing w:line="312" w:lineRule="auto"/>
        <w:tabs>
          <w:tab w:val="left" w:pos="0" w:leader="none"/>
          <w:tab w:val="left" w:pos="315" w:leader="none"/>
          <w:tab w:val="left" w:pos="525" w:leader="none"/>
          <w:tab w:val="left" w:pos="552"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bCs/>
          <w:color w:val="000000"/>
          <w:sz w:val="24"/>
          <w:szCs w:val="24"/>
          <w:highlight w:val="none"/>
        </w:rPr>
      </w:r>
      <w:r/>
    </w:p>
    <w:p>
      <w:pPr>
        <w:pStyle w:val="7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；传真：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；邮编：</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30"/>
        <w:ind w:firstLine="48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r>
      <w:r/>
    </w:p>
    <w:p>
      <w:pPr>
        <w:pStyle w:val="7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投标人名称（盖章）：</w:t>
      </w:r>
      <w:r>
        <w:rPr>
          <w:rFonts w:hint="eastAsia" w:ascii="宋体" w:hAnsi="宋体" w:cs="宋体"/>
          <w:bCs/>
          <w:color w:val="000000"/>
          <w:sz w:val="24"/>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28"/>
          <w:szCs w:val="28"/>
          <w:highlight w:val="none"/>
        </w:rPr>
        <w:t xml:space="preserve">七、承诺书（给定格式）：</w:t>
      </w:r>
      <w:r>
        <w:rPr>
          <w:rFonts w:ascii="宋体" w:hAnsi="宋体" w:eastAsia="宋体" w:cs="宋体"/>
          <w:b/>
          <w:color w:val="000000"/>
          <w:sz w:val="28"/>
          <w:szCs w:val="28"/>
          <w:highlight w:val="none"/>
        </w:rPr>
      </w:r>
      <w:r/>
    </w:p>
    <w:p>
      <w:pPr>
        <w:pStyle w:val="730"/>
        <w:jc w:val="center"/>
        <w:spacing w:line="360" w:lineRule="auto"/>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承诺书</w:t>
      </w:r>
      <w:r>
        <w:rPr>
          <w:rFonts w:ascii="宋体" w:hAnsi="宋体" w:eastAsia="宋体" w:cs="宋体"/>
          <w:bCs/>
          <w:color w:val="000000"/>
          <w:sz w:val="28"/>
          <w:szCs w:val="28"/>
          <w:highlight w:val="none"/>
        </w:rPr>
      </w:r>
      <w:r/>
    </w:p>
    <w:p>
      <w:pPr>
        <w:pStyle w:val="730"/>
        <w:ind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投标人</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针对本项目</w:t>
      </w:r>
      <w:r>
        <w:rPr>
          <w:rFonts w:hint="eastAsia" w:ascii="宋体" w:hAnsi="宋体" w:eastAsia="宋体" w:cs="宋体"/>
          <w:bCs/>
          <w:color w:val="000000"/>
          <w:sz w:val="24"/>
          <w:szCs w:val="24"/>
          <w:highlight w:val="none"/>
        </w:rPr>
        <w:t xml:space="preserve">编号</w:t>
      </w:r>
      <w:r>
        <w:rPr>
          <w:rFonts w:hint="eastAsia" w:ascii="宋体" w:hAnsi="宋体" w:eastAsia="宋体" w:cs="宋体"/>
          <w:color w:val="000000"/>
          <w:sz w:val="24"/>
          <w:szCs w:val="24"/>
          <w:highlight w:val="none"/>
        </w:rPr>
        <w:t xml:space="preserve">在此承诺：</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对本项目所提供的货物均为原厂全新合格品，提供的服务符合招标文件要求。</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本次投标没有借用别人资质，递交的投标文件内容真实、准确，没有使用虚假资质或虚假资料；</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在投标过程中不串通投标、围标、哄抬报价，或不计成本、低价抢标等行为。</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不使用贿赂等不正当手段。</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我方本次投标提供的所有材料均为真实、有效，无虚假内容。</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7.</w:t>
      </w:r>
      <w:r>
        <w:rPr>
          <w:rFonts w:hint="eastAsia" w:ascii="宋体" w:hAnsi="宋体" w:eastAsia="宋体" w:cs="宋体"/>
          <w:bCs/>
          <w:color w:val="000000"/>
          <w:sz w:val="24"/>
          <w:szCs w:val="24"/>
          <w:highlight w:val="none"/>
        </w:rPr>
        <w:t xml:space="preserve">实事求是回答招标人提出的相关问题。</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000000"/>
          <w:sz w:val="24"/>
          <w:szCs w:val="24"/>
          <w:highlight w:val="none"/>
          <w:lang w:eastAsia="zh-CN"/>
        </w:rPr>
        <w:t xml:space="preserve">无锡市梁溪区黄巷街道社区卫生服务中心</w:t>
      </w:r>
      <w:r>
        <w:rPr>
          <w:rFonts w:hint="eastAsia" w:ascii="宋体" w:hAnsi="宋体" w:eastAsia="宋体" w:cs="宋体"/>
          <w:bCs/>
          <w:color w:val="000000"/>
          <w:sz w:val="24"/>
          <w:szCs w:val="24"/>
          <w:highlight w:val="none"/>
        </w:rPr>
        <w:t xml:space="preserve">的黑名单，不得参加</w:t>
      </w:r>
      <w:r>
        <w:rPr>
          <w:rFonts w:hint="eastAsia" w:ascii="宋体" w:hAnsi="宋体" w:eastAsia="宋体" w:cs="宋体"/>
          <w:bCs/>
          <w:color w:val="000000"/>
          <w:sz w:val="24"/>
          <w:szCs w:val="24"/>
          <w:highlight w:val="none"/>
          <w:lang w:eastAsia="zh-CN"/>
        </w:rPr>
        <w:t xml:space="preserve">无锡市梁溪区黄巷街道社区卫生服务中心</w:t>
      </w:r>
      <w:r>
        <w:rPr>
          <w:rFonts w:hint="eastAsia" w:ascii="宋体" w:hAnsi="宋体" w:eastAsia="宋体" w:cs="宋体"/>
          <w:bCs/>
          <w:color w:val="000000"/>
          <w:sz w:val="24"/>
          <w:szCs w:val="24"/>
          <w:highlight w:val="none"/>
        </w:rPr>
        <w:t xml:space="preserve">所有招投标活动。</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……（投标人如有其他承诺的可在此处添加）</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如违背上述承诺，本公司（单位）将承担一切法律责任。</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ascii="宋体" w:hAnsi="宋体" w:eastAsia="宋体" w:cs="宋体"/>
          <w:bCs/>
          <w:color w:val="000000"/>
          <w:sz w:val="24"/>
          <w:szCs w:val="24"/>
          <w:highlight w:val="none"/>
        </w:rPr>
      </w:r>
      <w:r/>
    </w:p>
    <w:p>
      <w:pPr>
        <w:pStyle w:val="73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ascii="宋体" w:hAnsi="宋体" w:eastAsia="宋体" w:cs="宋体"/>
          <w:b/>
          <w:color w:val="000000"/>
          <w:sz w:val="28"/>
          <w:szCs w:val="28"/>
          <w:highlight w:val="none"/>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八、开标一览表（给定格式）：</w:t>
      </w:r>
      <w:r>
        <w:rPr>
          <w:rFonts w:ascii="宋体" w:hAnsi="宋体" w:eastAsia="宋体" w:cs="宋体"/>
          <w:b/>
          <w:color w:val="000000"/>
          <w:sz w:val="28"/>
          <w:szCs w:val="28"/>
          <w:highlight w:val="none"/>
        </w:rPr>
      </w:r>
      <w:r/>
    </w:p>
    <w:p>
      <w:pPr>
        <w:pStyle w:val="730"/>
        <w:ind w:firstLine="482"/>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730"/>
        <w:jc w:val="center"/>
        <w:spacing w:line="360" w:lineRule="auto"/>
        <w:rPr>
          <w:rFonts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w:t>
      </w:r>
      <w:r>
        <w:rPr>
          <w:rFonts w:ascii="宋体" w:hAnsi="宋体" w:eastAsia="宋体" w:cs="宋体"/>
          <w:bCs/>
          <w:color w:val="000000"/>
          <w:sz w:val="28"/>
          <w:szCs w:val="28"/>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                                             </w:t>
      </w:r>
      <w:r>
        <w:rPr>
          <w:rFonts w:ascii="宋体" w:hAnsi="宋体" w:eastAsia="宋体" w:cs="宋体"/>
          <w:bCs/>
          <w:color w:val="000000"/>
          <w:sz w:val="24"/>
          <w:szCs w:val="24"/>
          <w:highlight w:val="none"/>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trHeight w:val="567"/>
        </w:trPr>
        <w:tc>
          <w:tcPr>
            <w:tcW w:w="3090" w:type="dxa"/>
            <w:vAlign w:val="center"/>
            <w:textDirection w:val="lrTb"/>
            <w:noWrap w:val="false"/>
          </w:tcPr>
          <w:p>
            <w:pPr>
              <w:pStyle w:val="73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ascii="宋体" w:hAnsi="宋体" w:eastAsia="宋体" w:cs="宋体"/>
                <w:color w:val="000000"/>
                <w:sz w:val="24"/>
                <w:szCs w:val="24"/>
                <w:highlight w:val="none"/>
              </w:rPr>
            </w:r>
            <w:r/>
          </w:p>
        </w:tc>
        <w:tc>
          <w:tcPr>
            <w:tcW w:w="3672" w:type="dxa"/>
            <w:vAlign w:val="center"/>
            <w:textDirection w:val="lrTb"/>
            <w:noWrap w:val="false"/>
          </w:tcPr>
          <w:p>
            <w:pPr>
              <w:pStyle w:val="73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优惠率（%）</w:t>
            </w:r>
            <w:r>
              <w:rPr>
                <w:rFonts w:ascii="宋体" w:hAnsi="宋体" w:eastAsia="宋体" w:cs="宋体"/>
                <w:color w:val="000000"/>
                <w:sz w:val="24"/>
                <w:szCs w:val="24"/>
                <w:highlight w:val="none"/>
              </w:rPr>
            </w:r>
            <w:r/>
          </w:p>
        </w:tc>
        <w:tc>
          <w:tcPr>
            <w:tcW w:w="2704" w:type="dxa"/>
            <w:vAlign w:val="center"/>
            <w:textDirection w:val="lrTb"/>
            <w:noWrap w:val="false"/>
          </w:tcPr>
          <w:p>
            <w:pPr>
              <w:pStyle w:val="73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cantSplit/>
          <w:trHeight w:val="1630"/>
        </w:trPr>
        <w:tc>
          <w:tcPr>
            <w:tcW w:w="3090" w:type="dxa"/>
            <w:vAlign w:val="center"/>
            <w:textDirection w:val="lrTb"/>
            <w:noWrap w:val="false"/>
          </w:tcPr>
          <w:p>
            <w:pPr>
              <w:pStyle w:val="914"/>
              <w:jc w:val="center"/>
              <w:spacing w:line="360" w:lineRule="auto"/>
              <w:rPr>
                <w:rFonts w:hAnsi="宋体" w:cs="宋体"/>
                <w:color w:val="000000"/>
                <w:szCs w:val="24"/>
                <w:highlight w:val="none"/>
              </w:rPr>
            </w:pPr>
            <w:r>
              <w:rPr>
                <w:rFonts w:hAnsi="宋体" w:cs="宋体"/>
                <w:color w:val="000000"/>
                <w:szCs w:val="24"/>
                <w:highlight w:val="none"/>
              </w:rPr>
            </w:r>
            <w:r/>
          </w:p>
        </w:tc>
        <w:tc>
          <w:tcPr>
            <w:tcW w:w="3672" w:type="dxa"/>
            <w:vAlign w:val="center"/>
            <w:textDirection w:val="lrTb"/>
            <w:noWrap w:val="false"/>
          </w:tcPr>
          <w:p>
            <w:pPr>
              <w:pStyle w:val="914"/>
              <w:jc w:val="center"/>
              <w:spacing w:line="360" w:lineRule="auto"/>
              <w:rPr>
                <w:rFonts w:hAnsi="宋体" w:cs="宋体"/>
                <w:color w:val="000000"/>
                <w:szCs w:val="24"/>
                <w:highlight w:val="none"/>
              </w:rPr>
            </w:pPr>
            <w:r>
              <w:rPr>
                <w:rFonts w:hAnsi="宋体" w:cs="宋体"/>
                <w:color w:val="000000"/>
                <w:szCs w:val="24"/>
                <w:highlight w:val="none"/>
              </w:rPr>
            </w:r>
            <w:r/>
          </w:p>
        </w:tc>
        <w:tc>
          <w:tcPr>
            <w:tcW w:w="2704" w:type="dxa"/>
            <w:vAlign w:val="center"/>
            <w:textDirection w:val="lrTb"/>
            <w:noWrap w:val="false"/>
          </w:tcPr>
          <w:p>
            <w:pPr>
              <w:pStyle w:val="914"/>
              <w:jc w:val="center"/>
              <w:spacing w:line="360" w:lineRule="auto"/>
              <w:rPr>
                <w:rFonts w:hAnsi="宋体" w:cs="宋体"/>
                <w:color w:val="000000"/>
                <w:szCs w:val="24"/>
                <w:highlight w:val="none"/>
              </w:rPr>
            </w:pPr>
            <w:r>
              <w:rPr>
                <w:rFonts w:hint="eastAsia"/>
                <w:b/>
                <w:bCs w:val="0"/>
                <w:color w:val="000000"/>
                <w:sz w:val="24"/>
                <w:szCs w:val="24"/>
                <w:highlight w:val="none"/>
                <w:lang w:val="en-US" w:eastAsia="zh-CN"/>
              </w:rPr>
              <w:t xml:space="preserve">优惠率</w:t>
            </w:r>
            <w:r>
              <w:rPr>
                <w:rFonts w:hAnsi="宋体" w:cs="宋体"/>
                <w:color w:val="000000"/>
                <w:szCs w:val="24"/>
                <w:highlight w:val="none"/>
              </w:rPr>
            </w:r>
            <w:r/>
          </w:p>
        </w:tc>
      </w:tr>
    </w:tbl>
    <w:p>
      <w:pPr>
        <w:pStyle w:val="73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ascii="宋体" w:hAnsi="宋体" w:eastAsia="宋体" w:cs="宋体"/>
          <w:bCs/>
          <w:color w:val="000000"/>
          <w:sz w:val="24"/>
          <w:szCs w:val="24"/>
          <w:highlight w:val="none"/>
        </w:rPr>
      </w:r>
      <w:r/>
    </w:p>
    <w:p>
      <w:pPr>
        <w:pStyle w:val="730"/>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宋体" w:hAnsi="宋体" w:eastAsia="宋体" w:cs="宋体"/>
          <w:b/>
          <w:color w:val="000000"/>
          <w:sz w:val="24"/>
          <w:szCs w:val="24"/>
          <w:highlight w:val="none"/>
          <w:lang w:val="zh-CN"/>
        </w:rPr>
      </w:r>
      <w:r/>
    </w:p>
    <w:p>
      <w:pPr>
        <w:pStyle w:val="730"/>
        <w:rPr>
          <w:rFonts w:hint="eastAsia"/>
          <w:b/>
          <w:bCs w:val="0"/>
          <w:color w:val="000000"/>
          <w:sz w:val="24"/>
          <w:szCs w:val="24"/>
          <w:highlight w:val="none"/>
          <w:lang w:val="en-US" w:eastAsia="zh-CN"/>
        </w:rPr>
      </w:pPr>
      <w:r/>
      <w:bookmarkStart w:id="148" w:name="_Toc120614284"/>
      <w:r>
        <w:rPr>
          <w:rFonts w:hint="eastAsia"/>
          <w:b/>
          <w:bCs w:val="0"/>
          <w:color w:val="000000"/>
          <w:sz w:val="24"/>
          <w:szCs w:val="24"/>
          <w:highlight w:val="none"/>
          <w:lang w:val="en-US" w:eastAsia="zh-CN"/>
        </w:rPr>
      </w:r>
      <w:r/>
    </w:p>
    <w:p>
      <w:pPr>
        <w:pStyle w:val="730"/>
        <w:rPr>
          <w:rFonts w:hint="eastAsia"/>
          <w:b/>
          <w:bCs w:val="0"/>
          <w:color w:val="000000"/>
          <w:sz w:val="24"/>
          <w:szCs w:val="24"/>
          <w:highlight w:val="none"/>
          <w:lang w:val="en-US" w:eastAsia="zh-CN"/>
        </w:rPr>
      </w:pPr>
      <w:r>
        <w:rPr>
          <w:rFonts w:hint="eastAsia"/>
          <w:b/>
          <w:bCs w:val="0"/>
          <w:color w:val="000000"/>
          <w:sz w:val="24"/>
          <w:szCs w:val="24"/>
          <w:highlight w:val="none"/>
          <w:lang w:val="en-US" w:eastAsia="zh-CN"/>
        </w:rPr>
        <w:br w:type="page" w:clear="all"/>
      </w:r>
      <w:r>
        <w:rPr>
          <w:rFonts w:hint="eastAsia"/>
          <w:b/>
          <w:bCs w:val="0"/>
          <w:color w:val="000000"/>
          <w:sz w:val="24"/>
          <w:szCs w:val="24"/>
          <w:highlight w:val="none"/>
          <w:lang w:val="en-US" w:eastAsia="zh-CN"/>
        </w:rPr>
      </w:r>
      <w:r/>
    </w:p>
    <w:p>
      <w:pPr>
        <w:pStyle w:val="730"/>
        <w:ind w:firstLine="560"/>
        <w:spacing w:line="360" w:lineRule="auto"/>
        <w:rPr>
          <w:rFonts w:ascii="Times New Roman" w:eastAsia="宋体"/>
          <w:b/>
          <w:color w:val="000000"/>
          <w:sz w:val="28"/>
          <w:szCs w:val="28"/>
          <w:highlight w:val="none"/>
        </w:rPr>
      </w:pP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730"/>
        <w:jc w:val="center"/>
        <w:spacing w:line="360" w:lineRule="auto"/>
        <w:rPr>
          <w:rFonts w:ascii="黑体" w:eastAsia="黑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730"/>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0"/>
        <w:rPr>
          <w:rFonts w:ascii="宋体" w:hAnsi="宋体" w:eastAsia="宋体" w:cs="宋体"/>
          <w:b/>
          <w:color w:val="000000"/>
          <w:sz w:val="28"/>
          <w:szCs w:val="28"/>
          <w:highlight w:val="none"/>
        </w:rPr>
      </w:pPr>
      <w:r>
        <w:rPr>
          <w:rFonts w:hint="eastAsia"/>
          <w:bCs/>
          <w:color w:val="000000"/>
          <w:sz w:val="24"/>
          <w:highlight w:val="none"/>
          <w:lang w:eastAsia="zh-CN"/>
        </w:rPr>
        <w:t xml:space="preserve">投标人</w:t>
      </w:r>
      <w:r>
        <w:rPr>
          <w:rFonts w:hint="eastAsia"/>
          <w:bCs/>
          <w:color w:val="000000"/>
          <w:sz w:val="24"/>
          <w:highlight w:val="none"/>
        </w:rPr>
        <w:t xml:space="preserve">名称（</w:t>
      </w:r>
      <w:r>
        <w:rPr>
          <w:rFonts w:hint="eastAsia"/>
          <w:bCs/>
          <w:color w:val="000000"/>
          <w:sz w:val="24"/>
          <w:highlight w:val="none"/>
          <w:lang w:eastAsia="zh-CN"/>
        </w:rPr>
        <w:t xml:space="preserve">签章</w:t>
      </w:r>
      <w:r>
        <w:rPr>
          <w:rFonts w:hint="eastAsia"/>
          <w:bCs/>
          <w:color w:val="000000"/>
          <w:sz w:val="24"/>
          <w:highlight w:val="none"/>
        </w:rPr>
        <w:t xml:space="preserve">）                                  政府采购编号：</w:t>
      </w:r>
      <w:r>
        <w:rPr>
          <w:rFonts w:ascii="宋体" w:hAnsi="宋体" w:eastAsia="宋体" w:cs="宋体"/>
          <w:b/>
          <w:color w:val="000000"/>
          <w:sz w:val="28"/>
          <w:szCs w:val="28"/>
          <w:highlight w:val="none"/>
        </w:rPr>
      </w:r>
      <w:r/>
    </w:p>
    <w:p>
      <w:pPr>
        <w:pStyle w:val="730"/>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712"/>
        <w:gridCol w:w="1823"/>
        <w:gridCol w:w="712"/>
        <w:gridCol w:w="1945"/>
        <w:gridCol w:w="1945"/>
        <w:gridCol w:w="1000"/>
        <w:gridCol w:w="1000"/>
      </w:tblGrid>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最高限价元/（kg/袋）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投标报价元/（kg/袋）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阿胶珠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3g/袋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艾叶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八月札（预知子）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巴戟天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菝葜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白扁豆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白花蛇舌草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白芥子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白茅根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白鲜皮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柏子仁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败酱草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板蓝根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半边莲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半枝莲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薄荷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北柴胡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北沙参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荜茇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萆薢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萹蓄草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瘪桃干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冰球子（山慈菇）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补骨脂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苍耳子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藏青果（西青果）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柴胡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蝉蜕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999.44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蟾衣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炒白术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炒苍术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炒陈皮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炒刺猬皮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炒淡豆豉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炒当归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炒党参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炒杜仲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炒谷芽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炒蒺藜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炒僵蚕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炒决明子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炒麦芽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炒桑枝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炒苡仁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炒枳壳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炒枳实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车前草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车前子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沉香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赤芍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茺蔚子（益母子）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川贝母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6571.8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川楝子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川牛膝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垂盆草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春柴胡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醋鳖甲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醋龟甲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大腹皮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大茴香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大蓟草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大力子(牛蒡子)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大青叶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代赭石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丹参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丹皮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128.99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胆南星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淡竹叶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党参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灯心草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地鳖虫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地肤子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地骨皮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地龙干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丁香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冬葵子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独一味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杜仲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杜仲叶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煅磁石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煅龙齿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煅龙骨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煅牡蛎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莪术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法半夏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番泻叶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佛手片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麸炒苍术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茯苓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茯苓皮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茯神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浮小麦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覆盆子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甘草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甘松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甘遂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高良姜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葛根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葛花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功劳叶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钩藤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枸橘李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枸杞子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谷精草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骨碎补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瓜蒌皮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瓜蒌仁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广藿香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广木香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龟甲胶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4027.44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鬼箭羽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鬼球（木馒头）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海金沙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海螵蛸（乌贼骨）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杭菊花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诃子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合欢花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合欢皮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荷叶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黑附片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红景天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3g/袋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红曲米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胡黄连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葫芦壳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槲寄生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虎杖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滑石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化橘红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怀牛膝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槐花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黄药子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火麻仁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鸡内金（炒）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鸡内金（生）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鸡血藤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积雪草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急性子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姜黄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僵蚕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焦六神曲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焦山楂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焦栀子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绞股蓝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金钱草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金荞麦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金银花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金樱子肉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荆芥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九节菖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九香虫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酒萸肉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桔梗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决明子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开心果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苦参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苦杏仁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款冬花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莱菔子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莲子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刘寄奴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龙胆草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龙眼肉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鹿角胶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鹿角片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鹿角霜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鹿衔草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路路通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罗布麻叶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罗汉果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络石藤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绿梅花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麻黄根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马鞭草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马齿苋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蔓荆子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芒硝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猫爪草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玫瑰花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蜜远志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蜜紫菀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茉莉花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墨旱莲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木蝴蝶（千张纸）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南沙参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糯稻根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女贞子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胖大海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炮姜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佩兰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枇杷叶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平地木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蒲公英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蒲黄粉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荠菜花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蕲蛇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千年健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芡实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茜草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羌活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秦艽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青葙子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瞿麦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全瓜蒌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4010.88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拳参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人参片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忍冬藤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肉苁蓉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乳香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三七粉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桑白皮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桑寄生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桑螵蛸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桑椹子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桑叶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沙苑子（潼蒺藜）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砂仁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山慈菇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905.52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山豆根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29.99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山萸肉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蛇床子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蛇莓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射干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伸筋草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生白术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生大黄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生龙骨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生牡蛎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生山楂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生石膏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生苡仁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石菖蒲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石见穿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石决明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石榴皮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柿蒂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首乌藤（夜交藤）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蜀羊泉（白英）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水红花子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水牛角片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酸枣仁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锁阳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太子参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桃仁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藤梨根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天葵子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田基黄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葶苈子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透骨草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土茯苓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土牛膝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菟丝子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瓦楞子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王不留行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威灵仙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煨葛根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乌梢蛇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吴茱萸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蜈蚣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五倍子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五加皮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五灵脂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五味子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豨莶草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喜树果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夏枯草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仙鹤草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仙灵脾（淫羊藿）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仙茅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香橼皮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小茴香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薤白头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辛夷花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徐长卿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续断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玄参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玄胡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玄明粉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旋覆花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寻骨风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鸭跖草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野菊花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益母草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益智仁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271.04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茵陈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银柴胡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鱼腥草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玉竹（生）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郁李仁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月季花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119.94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皂角刺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泽兰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泽泻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浙贝母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珍珠母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栀子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制半夏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制草乌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制川乌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制大黄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制狗脊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制南星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93.76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制首乌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制香附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炙百部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炙甘草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炙红芪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炙黄芪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珠子参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8160.96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554.52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紫花地丁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紫苏子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40"/>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最高限价（元）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投标报价（元）</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414"/>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中药临方加工（煎汤）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0"/>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中药临方加工（熬膏）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06"/>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中药临方加工（磨粉）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0"/>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中药临方加工（制丸）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bl>
    <w:p>
      <w:pPr>
        <w:pStyle w:val="730"/>
        <w:rPr>
          <w:color w:val="000000"/>
          <w:highlight w:val="none"/>
        </w:rPr>
      </w:pPr>
      <w:r>
        <w:rPr>
          <w:color w:val="000000"/>
          <w:highlight w:val="none"/>
        </w:rPr>
      </w:r>
      <w:r/>
    </w:p>
    <w:p>
      <w:pPr>
        <w:pStyle w:val="730"/>
        <w:ind w:firstLine="482"/>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注：1）中药饮片：需按照采购人中药饮片清单的最高限价统一优惠率进行报价</w:t>
      </w:r>
      <w:r>
        <w:rPr>
          <w:rFonts w:hint="eastAsia" w:ascii="Times New Roman" w:hAnsi="Times New Roman" w:eastAsia="宋体" w:cs="Times New Roman"/>
          <w:b/>
          <w:color w:val="000000"/>
          <w:sz w:val="24"/>
          <w:szCs w:val="24"/>
          <w:highlight w:val="none"/>
          <w:lang w:val="en-US" w:eastAsia="zh-CN"/>
        </w:rPr>
      </w:r>
      <w:r/>
    </w:p>
    <w:p>
      <w:pPr>
        <w:pStyle w:val="730"/>
        <w:ind w:firstLine="482"/>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2）代加工服务：按照最高限价（</w:t>
      </w:r>
      <w:r>
        <w:rPr>
          <w:rFonts w:hint="eastAsia" w:ascii="Times New Roman" w:hAnsi="Times New Roman" w:eastAsia="宋体" w:cs="Times New Roman"/>
          <w:b/>
          <w:color w:val="000000"/>
          <w:sz w:val="24"/>
          <w:szCs w:val="24"/>
          <w:highlight w:val="none"/>
          <w:lang w:eastAsia="zh-CN"/>
        </w:rPr>
        <w:t xml:space="preserve">中药临方加工（煎汤）不高于</w:t>
      </w:r>
      <w:r>
        <w:rPr>
          <w:rFonts w:hint="eastAsia" w:ascii="Times New Roman" w:hAnsi="Times New Roman" w:eastAsia="宋体" w:cs="Times New Roman"/>
          <w:b/>
          <w:color w:val="000000"/>
          <w:sz w:val="24"/>
          <w:szCs w:val="24"/>
          <w:highlight w:val="none"/>
          <w:lang w:val="en-US" w:eastAsia="zh-CN"/>
        </w:rPr>
        <w:t xml:space="preserve">3</w:t>
      </w:r>
      <w:r>
        <w:rPr>
          <w:rFonts w:hint="eastAsia" w:ascii="Times New Roman" w:hAnsi="Times New Roman" w:eastAsia="宋体" w:cs="Times New Roman"/>
          <w:b/>
          <w:color w:val="000000"/>
          <w:sz w:val="24"/>
          <w:szCs w:val="24"/>
          <w:highlight w:val="none"/>
          <w:lang w:eastAsia="zh-CN"/>
        </w:rPr>
        <w:t xml:space="preserve">.5元／帖，中药临方加工（熬膏）不高于260元／料，中药临方加工（磨粉）不高于25元/500g，中药临方加工（制丸）不高于50元/500g</w:t>
      </w:r>
      <w:r>
        <w:rPr>
          <w:rFonts w:hint="eastAsia" w:ascii="Times New Roman" w:hAnsi="Times New Roman" w:eastAsia="宋体" w:cs="Times New Roman"/>
          <w:b/>
          <w:color w:val="000000"/>
          <w:sz w:val="24"/>
          <w:szCs w:val="24"/>
          <w:highlight w:val="none"/>
          <w:lang w:val="en-US" w:eastAsia="zh-CN"/>
        </w:rPr>
        <w:t xml:space="preserve">），统一优惠率进行报价。</w:t>
      </w:r>
      <w:r>
        <w:rPr>
          <w:rFonts w:hint="eastAsia" w:ascii="Times New Roman" w:hAnsi="Times New Roman" w:eastAsia="宋体" w:cs="Times New Roman"/>
          <w:b/>
          <w:color w:val="000000"/>
          <w:sz w:val="24"/>
          <w:szCs w:val="24"/>
          <w:highlight w:val="none"/>
          <w:lang w:val="en-US" w:eastAsia="zh-CN"/>
        </w:rPr>
      </w:r>
      <w:r/>
    </w:p>
    <w:p>
      <w:pPr>
        <w:pStyle w:val="730"/>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3）中药饮片和代加工服务均采用统一优惠率进行报价，请供应商自行考虑。</w:t>
      </w:r>
      <w:r>
        <w:rPr>
          <w:rFonts w:hint="eastAsia" w:ascii="Times New Roman" w:hAnsi="Times New Roman" w:eastAsia="宋体" w:cs="Times New Roman"/>
          <w:b/>
          <w:color w:val="000000"/>
          <w:sz w:val="24"/>
          <w:szCs w:val="24"/>
          <w:highlight w:val="none"/>
          <w:lang w:val="en-US" w:eastAsia="zh-CN"/>
        </w:rPr>
      </w:r>
      <w:r/>
    </w:p>
    <w:p>
      <w:pPr>
        <w:pStyle w:val="730"/>
        <w:ind w:firstLine="482"/>
        <w:spacing w:line="360" w:lineRule="auto"/>
        <w:rPr>
          <w:rFonts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4）本次投报的是优惠率，如折扣率为40%，则报价表中优惠率填写60%；如打四折，则报价表中优惠率一栏填写60%，以此为例。</w:t>
      </w:r>
      <w:r>
        <w:rPr>
          <w:rFonts w:ascii="Times New Roman" w:hAnsi="Times New Roman" w:eastAsia="宋体" w:cs="Times New Roman"/>
          <w:b/>
          <w:color w:val="000000"/>
          <w:sz w:val="24"/>
          <w:szCs w:val="24"/>
          <w:highlight w:val="none"/>
          <w:lang w:val="en-US" w:eastAsia="zh-CN"/>
        </w:rPr>
      </w:r>
      <w:r/>
    </w:p>
    <w:p>
      <w:pPr>
        <w:pStyle w:val="730"/>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十</w:t>
      </w:r>
      <w:r>
        <w:rPr>
          <w:rFonts w:hint="eastAsia" w:ascii="宋体" w:hAnsi="宋体" w:eastAsia="宋体" w:cs="宋体"/>
          <w:b/>
          <w:color w:val="000000"/>
          <w:sz w:val="28"/>
          <w:szCs w:val="28"/>
          <w:highlight w:val="none"/>
        </w:rPr>
        <w:t xml:space="preserve">、投标偏离表（给定格式）：</w:t>
      </w:r>
      <w:r>
        <w:rPr>
          <w:rFonts w:ascii="宋体" w:hAnsi="宋体" w:eastAsia="宋体" w:cs="宋体"/>
          <w:b/>
          <w:color w:val="000000"/>
          <w:sz w:val="28"/>
          <w:szCs w:val="28"/>
          <w:highlight w:val="none"/>
        </w:rPr>
      </w:r>
      <w:r/>
    </w:p>
    <w:p>
      <w:pPr>
        <w:pStyle w:val="730"/>
        <w:jc w:val="center"/>
        <w:spacing w:line="360" w:lineRule="auto"/>
        <w:rPr>
          <w:rFonts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投标偏离表</w:t>
      </w:r>
      <w:r>
        <w:rPr>
          <w:rFonts w:ascii="宋体" w:hAnsi="宋体" w:eastAsia="宋体" w:cs="宋体"/>
          <w:bCs/>
          <w:color w:val="000000"/>
          <w:sz w:val="28"/>
          <w:szCs w:val="28"/>
          <w:highlight w:val="none"/>
        </w:rPr>
      </w:r>
      <w:r/>
    </w:p>
    <w:p>
      <w:pPr>
        <w:pStyle w:val="73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ascii="宋体" w:hAnsi="宋体" w:eastAsia="宋体" w:cs="宋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spacing w:line="360" w:lineRule="auto"/>
              <w:rPr>
                <w:rFonts w:ascii="宋体" w:hAnsi="宋体" w:eastAsia="宋体" w:cs="宋体"/>
                <w:bCs/>
                <w:color w:val="000000"/>
                <w:highlight w:val="none"/>
              </w:rPr>
            </w:pPr>
            <w:r>
              <w:rPr>
                <w:rFonts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spacing w:line="360" w:lineRule="auto"/>
              <w:rPr>
                <w:rFonts w:ascii="宋体" w:hAnsi="宋体" w:eastAsia="宋体" w:cs="宋体"/>
                <w:bCs/>
                <w:color w:val="000000"/>
                <w:highlight w:val="none"/>
              </w:rPr>
            </w:pPr>
            <w:r>
              <w:rPr>
                <w:rFonts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spacing w:line="360" w:lineRule="auto"/>
              <w:rPr>
                <w:rFonts w:ascii="宋体" w:hAnsi="宋体" w:eastAsia="宋体" w:cs="宋体"/>
                <w:bCs/>
                <w:color w:val="000000"/>
                <w:highlight w:val="none"/>
              </w:rPr>
            </w:pPr>
            <w:r>
              <w:rPr>
                <w:rFonts w:ascii="宋体" w:hAnsi="宋体" w:eastAsia="宋体" w:cs="宋体"/>
                <w:bCs/>
                <w:color w:val="000000"/>
                <w:highlight w:val="none"/>
              </w:rPr>
            </w:r>
            <w:r/>
          </w:p>
        </w:tc>
      </w:tr>
    </w:tbl>
    <w:p>
      <w:pPr>
        <w:pStyle w:val="73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ascii="宋体" w:hAnsi="宋体" w:eastAsia="宋体" w:cs="宋体"/>
          <w:b/>
          <w:color w:val="000000"/>
          <w:sz w:val="24"/>
          <w:szCs w:val="24"/>
          <w:highlight w:val="none"/>
        </w:rPr>
      </w:r>
      <w:r/>
    </w:p>
    <w:p>
      <w:pPr>
        <w:pStyle w:val="730"/>
        <w:spacing w:line="400" w:lineRule="exact"/>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注：（1）本表不得删除；</w:t>
      </w:r>
      <w:r>
        <w:rPr>
          <w:rFonts w:ascii="宋体" w:hAnsi="宋体" w:eastAsia="宋体" w:cs="宋体"/>
          <w:bCs/>
          <w:color w:val="000000"/>
          <w:sz w:val="24"/>
          <w:szCs w:val="24"/>
          <w:highlight w:val="none"/>
        </w:rPr>
      </w:r>
      <w:r/>
    </w:p>
    <w:p>
      <w:pPr>
        <w:pStyle w:val="730"/>
        <w:ind w:firstLine="480"/>
        <w:spacing w:line="400" w:lineRule="exact"/>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（2）如无任何偏离，请于本表 “偏离说明”中注明“无偏离”；</w:t>
      </w:r>
      <w:r>
        <w:rPr>
          <w:rFonts w:ascii="宋体" w:hAnsi="宋体" w:eastAsia="宋体" w:cs="宋体"/>
          <w:bCs/>
          <w:color w:val="000000"/>
          <w:sz w:val="24"/>
          <w:szCs w:val="24"/>
          <w:highlight w:val="none"/>
        </w:rPr>
      </w:r>
      <w:r/>
    </w:p>
    <w:p>
      <w:pPr>
        <w:pStyle w:val="730"/>
        <w:spacing w:line="400" w:lineRule="exact"/>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（3）如有任何偏离项，请于本表中列明偏离内容，如需要可自行延长，其余无偏离内容不须赘述。</w:t>
      </w:r>
      <w:bookmarkEnd w:id="148"/>
      <w:r/>
      <w:bookmarkStart w:id="149" w:name="_格式2__法定代表人授权书"/>
      <w:r/>
      <w:bookmarkEnd w:id="149"/>
      <w:r/>
      <w:bookmarkStart w:id="150" w:name="_Hlt26671374"/>
      <w:r/>
      <w:bookmarkEnd w:id="150"/>
      <w:r/>
      <w:bookmarkStart w:id="151" w:name="_Hlt26955066"/>
      <w:r/>
      <w:bookmarkEnd w:id="151"/>
      <w:r/>
      <w:bookmarkStart w:id="152" w:name="_Hlt26609389"/>
      <w:r/>
      <w:bookmarkEnd w:id="152"/>
      <w:r>
        <w:rPr>
          <w:rFonts w:ascii="宋体" w:hAnsi="宋体" w:eastAsia="宋体" w:cs="宋体"/>
          <w:bCs/>
          <w:color w:val="000000"/>
          <w:sz w:val="24"/>
          <w:szCs w:val="24"/>
          <w:highlight w:val="none"/>
        </w:rPr>
      </w:r>
      <w:r/>
    </w:p>
    <w:p>
      <w:pPr>
        <w:pStyle w:val="730"/>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ascii="宋体" w:hAnsi="宋体" w:eastAsia="宋体" w:cs="宋体"/>
          <w:b/>
          <w:color w:val="000000"/>
          <w:sz w:val="28"/>
          <w:szCs w:val="28"/>
          <w:highlight w:val="none"/>
        </w:rPr>
      </w:r>
      <w:r/>
    </w:p>
    <w:p>
      <w:pPr>
        <w:pStyle w:val="730"/>
        <w:ind w:firstLine="562"/>
        <w:spacing w:line="400" w:lineRule="exact"/>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rPr>
        <w:t xml:space="preserve">、项目人员配置表（格式）</w:t>
      </w:r>
      <w:r>
        <w:rPr>
          <w:rFonts w:ascii="宋体" w:hAnsi="宋体" w:eastAsia="宋体" w:cs="宋体"/>
          <w:b/>
          <w:color w:val="000000"/>
          <w:sz w:val="28"/>
          <w:szCs w:val="28"/>
          <w:highlight w:val="none"/>
        </w:rPr>
      </w:r>
      <w:r/>
    </w:p>
    <w:p>
      <w:pPr>
        <w:pStyle w:val="730"/>
        <w:jc w:val="center"/>
        <w:spacing w:line="360" w:lineRule="auto"/>
        <w:rPr>
          <w:rFonts w:ascii="宋体" w:hAnsi="宋体" w:eastAsia="宋体" w:cs="宋体"/>
          <w:bCs/>
          <w:color w:val="000000"/>
          <w:sz w:val="24"/>
          <w:szCs w:val="24"/>
          <w:highlight w:val="none"/>
        </w:rPr>
        <w:outlineLvl w:val="0"/>
      </w:pPr>
      <w:r>
        <w:rPr>
          <w:rFonts w:hint="eastAsia" w:ascii="宋体" w:hAnsi="宋体" w:eastAsia="宋体" w:cs="宋体"/>
          <w:bCs/>
          <w:color w:val="000000"/>
          <w:sz w:val="28"/>
          <w:szCs w:val="28"/>
          <w:highlight w:val="none"/>
        </w:rPr>
        <w:t xml:space="preserve">拟派项目人员配置表</w:t>
      </w:r>
      <w:r>
        <w:rPr>
          <w:rFonts w:ascii="宋体" w:hAnsi="宋体" w:eastAsia="宋体" w:cs="宋体"/>
          <w:bCs/>
          <w:color w:val="000000"/>
          <w:sz w:val="24"/>
          <w:szCs w:val="24"/>
          <w:highlight w:val="none"/>
        </w:rPr>
      </w:r>
      <w:r/>
    </w:p>
    <w:p>
      <w:pPr>
        <w:pStyle w:val="73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ascii="宋体" w:hAnsi="宋体" w:eastAsia="宋体" w:cs="宋体"/>
          <w:bCs/>
          <w:color w:val="000000"/>
          <w:sz w:val="24"/>
          <w:szCs w:val="24"/>
          <w:highlight w:val="none"/>
        </w:rPr>
      </w:r>
      <w:r/>
    </w:p>
    <w:tbl>
      <w:tblPr>
        <w:tblW w:w="9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418"/>
      </w:tblGrid>
      <w:tr>
        <w:trPr>
          <w:trHeight w:val="865"/>
        </w:trPr>
        <w:tc>
          <w:tcPr>
            <w:tcW w:w="596"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ascii="宋体" w:hAnsi="宋体" w:eastAsia="宋体" w:cs="宋体"/>
                <w:b/>
                <w:color w:val="000000"/>
                <w:sz w:val="24"/>
                <w:highlight w:val="none"/>
              </w:rPr>
            </w:r>
            <w:r/>
          </w:p>
        </w:tc>
        <w:tc>
          <w:tcPr>
            <w:tcW w:w="1097"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ascii="宋体" w:hAnsi="宋体" w:eastAsia="宋体" w:cs="宋体"/>
                <w:b/>
                <w:color w:val="000000"/>
                <w:sz w:val="24"/>
                <w:highlight w:val="none"/>
              </w:rPr>
            </w:r>
            <w:r/>
          </w:p>
        </w:tc>
        <w:tc>
          <w:tcPr>
            <w:tcW w:w="762"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年龄</w:t>
            </w:r>
            <w:r>
              <w:rPr>
                <w:rFonts w:ascii="宋体" w:hAnsi="宋体" w:eastAsia="宋体" w:cs="宋体"/>
                <w:b/>
                <w:color w:val="000000"/>
                <w:sz w:val="24"/>
                <w:highlight w:val="none"/>
              </w:rPr>
            </w:r>
            <w:r/>
          </w:p>
        </w:tc>
        <w:tc>
          <w:tcPr>
            <w:tcW w:w="2134"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本项目职责</w:t>
            </w:r>
            <w:r>
              <w:rPr>
                <w:rFonts w:ascii="宋体" w:hAnsi="宋体" w:eastAsia="宋体" w:cs="宋体"/>
                <w:b/>
                <w:color w:val="000000"/>
                <w:sz w:val="24"/>
                <w:highlight w:val="none"/>
              </w:rPr>
            </w:r>
            <w:r/>
          </w:p>
        </w:tc>
        <w:tc>
          <w:tcPr>
            <w:tcW w:w="2773"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人员证书名称或职称</w:t>
            </w:r>
            <w:r>
              <w:rPr>
                <w:rFonts w:ascii="宋体" w:hAnsi="宋体" w:eastAsia="宋体" w:cs="宋体"/>
                <w:b/>
                <w:color w:val="000000"/>
                <w:sz w:val="24"/>
                <w:highlight w:val="none"/>
              </w:rPr>
            </w:r>
            <w:r/>
          </w:p>
        </w:tc>
        <w:tc>
          <w:tcPr>
            <w:tcW w:w="2418" w:type="dxa"/>
            <w:vAlign w:val="center"/>
            <w:textDirection w:val="lrTb"/>
            <w:noWrap w:val="false"/>
          </w:tcPr>
          <w:p>
            <w:pPr>
              <w:pStyle w:val="730"/>
              <w:jc w:val="center"/>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专业</w:t>
            </w:r>
            <w:r>
              <w:rPr>
                <w:rFonts w:ascii="宋体" w:hAnsi="宋体" w:eastAsia="宋体" w:cs="宋体"/>
                <w:b/>
                <w:color w:val="000000"/>
                <w:sz w:val="24"/>
                <w:highlight w:val="none"/>
              </w:rPr>
            </w:r>
            <w:r/>
          </w:p>
        </w:tc>
      </w:tr>
      <w:tr>
        <w:trPr>
          <w:trHeight w:val="680"/>
        </w:trPr>
        <w:tc>
          <w:tcPr>
            <w:tcW w:w="596"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1097"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762"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134"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773"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418"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r>
      <w:tr>
        <w:trPr>
          <w:trHeight w:val="680"/>
        </w:trPr>
        <w:tc>
          <w:tcPr>
            <w:tcW w:w="596"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1097"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762"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134"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773"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418"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r>
      <w:tr>
        <w:trPr>
          <w:trHeight w:val="680"/>
        </w:trPr>
        <w:tc>
          <w:tcPr>
            <w:tcW w:w="596"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1097"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762"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134"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773"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418"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r>
      <w:tr>
        <w:trPr>
          <w:trHeight w:val="680"/>
        </w:trPr>
        <w:tc>
          <w:tcPr>
            <w:tcW w:w="596"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1097"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762"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134"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773"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418"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r>
      <w:tr>
        <w:trPr>
          <w:trHeight w:val="680"/>
        </w:trPr>
        <w:tc>
          <w:tcPr>
            <w:tcW w:w="596"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1097"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762"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134"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773"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c>
          <w:tcPr>
            <w:tcW w:w="2418" w:type="dxa"/>
            <w:vAlign w:val="top"/>
            <w:textDirection w:val="lrTb"/>
            <w:noWrap w:val="false"/>
          </w:tcPr>
          <w:p>
            <w:pPr>
              <w:pStyle w:val="73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tc>
      </w:tr>
    </w:tbl>
    <w:p>
      <w:pPr>
        <w:pStyle w:val="73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730"/>
        <w:ind w:firstLine="72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ascii="宋体" w:hAnsi="宋体" w:eastAsia="宋体" w:cs="宋体"/>
          <w:bCs/>
          <w:color w:val="000000"/>
          <w:sz w:val="24"/>
          <w:szCs w:val="24"/>
          <w:highlight w:val="none"/>
        </w:rPr>
      </w:r>
      <w:r/>
    </w:p>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730"/>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73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注：本表对应项目人员配置情况，表格不够可自行延长。</w:t>
      </w:r>
      <w:r>
        <w:rPr>
          <w:rFonts w:ascii="宋体" w:hAnsi="宋体" w:eastAsia="宋体" w:cs="宋体"/>
          <w:bCs/>
          <w:color w:val="000000"/>
          <w:highlight w:val="none"/>
        </w:rPr>
      </w:r>
      <w:r/>
    </w:p>
    <w:sectPr>
      <w:footerReference w:type="default" r:id="rId14"/>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54"/>
      </w:rPr>
      <w:framePr w:wrap="around" w:vAnchor="text" w:hAnchor="margin" w:xAlign="center" w:y="1"/>
    </w:pPr>
    <w:r>
      <w:rPr>
        <w:rStyle w:val="854"/>
      </w:rPr>
      <w:fldChar w:fldCharType="begin"/>
    </w:r>
    <w:r>
      <w:rPr>
        <w:rStyle w:val="854"/>
      </w:rPr>
      <w:instrText xml:space="preserve">PAGE  </w:instrText>
    </w:r>
    <w:r>
      <w:rPr>
        <w:rStyle w:val="854"/>
      </w:rPr>
      <w:fldChar w:fldCharType="separate"/>
    </w:r>
    <w:r>
      <w:rPr>
        <w:rStyle w:val="854"/>
      </w:rPr>
      <w:t xml:space="preserve">1</w:t>
    </w:r>
    <w:r>
      <w:rPr>
        <w:rStyle w:val="854"/>
      </w:rPr>
      <w:fldChar w:fldCharType="end"/>
    </w:r>
    <w:r>
      <w:rPr>
        <w:rStyle w:val="854"/>
      </w:rPr>
    </w:r>
    <w:r/>
  </w:p>
  <w:p>
    <w:pPr>
      <w:pStyle w:val="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2844165</wp:posOffset>
              </wp:positionH>
              <wp:positionV relativeFrom="paragraph">
                <wp:posOffset>168910</wp:posOffset>
              </wp:positionV>
              <wp:extent cx="196898" cy="294214"/>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6897" cy="294214"/>
                      </a:xfrm>
                      <a:prstGeom prst="rect">
                        <a:avLst/>
                      </a:prstGeom>
                      <a:noFill/>
                      <a:ln>
                        <a:noFill/>
                      </a:ln>
                    </wps:spPr>
                    <wps:txbx>
                      <w:txbxContent>
                        <w:p>
                          <w:pPr>
                            <w:pStyle w:val="82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55</w:t>
                          </w:r>
                          <w:r>
                            <w:rPr>
                              <w:lang w:val="zh-CN"/>
                            </w:rPr>
                            <w:fldChar w:fldCharType="end"/>
                          </w:r>
                          <w:r/>
                        </w:p>
                        <w:p>
                          <w:pPr>
                            <w:pStyle w:val="73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223.9pt;mso-position-horizontal:absolute;mso-position-vertical-relative:text;margin-top:13.3pt;mso-position-vertical:absolute;width:15.5pt;height:23.2pt;mso-wrap-distance-left:9.0pt;mso-wrap-distance-top:0.0pt;mso-wrap-distance-right:9.0pt;mso-wrap-distance-bottom:0.0pt;visibility:visible;" filled="f" stroked="f">
              <v:textbox inset="0,0,0,0">
                <w:txbxContent>
                  <w:p>
                    <w:pPr>
                      <w:pStyle w:val="82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55</w:t>
                    </w:r>
                    <w:r>
                      <w:rPr>
                        <w:lang w:val="zh-CN"/>
                      </w:rPr>
                      <w:fldChar w:fldCharType="end"/>
                    </w:r>
                    <w:r/>
                  </w:p>
                  <w:p>
                    <w:pPr>
                      <w:pStyle w:val="7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2">
    <w:multiLevelType w:val="hybridMultilevel"/>
    <w:lvl w:ilvl="0">
      <w:start w:val="1"/>
      <w:numFmt w:val="upperLetter"/>
      <w:pStyle w:val="1164"/>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3">
    <w:multiLevelType w:val="hybridMultilevel"/>
    <w:lvl w:ilvl="0">
      <w:start w:val="1"/>
      <w:numFmt w:val="japaneseCounting"/>
      <w:pStyle w:val="918"/>
      <w:isLgl w:val="false"/>
      <w:suff w:val="tab"/>
      <w:lvlText w:val="（%1)"/>
      <w:lvlJc w:val="left"/>
      <w:pPr>
        <w:pStyle w:val="730"/>
        <w:ind w:left="840" w:hanging="720"/>
      </w:pPr>
    </w:lvl>
    <w:lvl w:ilvl="1">
      <w:start w:val="1"/>
      <w:numFmt w:val="lowerLetter"/>
      <w:isLgl w:val="false"/>
      <w:suff w:val="tab"/>
      <w:lvlText w:val="%2)"/>
      <w:lvlJc w:val="left"/>
      <w:pPr>
        <w:pStyle w:val="730"/>
        <w:ind w:left="960" w:hanging="420"/>
      </w:pPr>
    </w:lvl>
    <w:lvl w:ilvl="2">
      <w:start w:val="1"/>
      <w:numFmt w:val="lowerRoman"/>
      <w:isLgl w:val="false"/>
      <w:suff w:val="tab"/>
      <w:lvlText w:val="%3."/>
      <w:lvlJc w:val="right"/>
      <w:pPr>
        <w:pStyle w:val="730"/>
        <w:ind w:left="1380" w:hanging="420"/>
      </w:pPr>
    </w:lvl>
    <w:lvl w:ilvl="3">
      <w:start w:val="1"/>
      <w:numFmt w:val="decimal"/>
      <w:isLgl w:val="false"/>
      <w:suff w:val="tab"/>
      <w:lvlText w:val="%4."/>
      <w:lvlJc w:val="left"/>
      <w:pPr>
        <w:pStyle w:val="730"/>
        <w:ind w:left="1800" w:hanging="420"/>
      </w:pPr>
    </w:lvl>
    <w:lvl w:ilvl="4">
      <w:start w:val="1"/>
      <w:numFmt w:val="lowerLetter"/>
      <w:isLgl w:val="false"/>
      <w:suff w:val="tab"/>
      <w:lvlText w:val="%5)"/>
      <w:lvlJc w:val="left"/>
      <w:pPr>
        <w:pStyle w:val="730"/>
        <w:ind w:left="2220" w:hanging="420"/>
      </w:pPr>
    </w:lvl>
    <w:lvl w:ilvl="5">
      <w:start w:val="1"/>
      <w:numFmt w:val="lowerRoman"/>
      <w:isLgl w:val="false"/>
      <w:suff w:val="tab"/>
      <w:lvlText w:val="%6."/>
      <w:lvlJc w:val="right"/>
      <w:pPr>
        <w:pStyle w:val="730"/>
        <w:ind w:left="2640" w:hanging="420"/>
      </w:pPr>
    </w:lvl>
    <w:lvl w:ilvl="6">
      <w:start w:val="1"/>
      <w:numFmt w:val="decimal"/>
      <w:isLgl w:val="false"/>
      <w:suff w:val="tab"/>
      <w:lvlText w:val="%7."/>
      <w:lvlJc w:val="left"/>
      <w:pPr>
        <w:pStyle w:val="730"/>
        <w:ind w:left="3060" w:hanging="420"/>
      </w:pPr>
    </w:lvl>
    <w:lvl w:ilvl="7">
      <w:start w:val="1"/>
      <w:numFmt w:val="lowerLetter"/>
      <w:isLgl w:val="false"/>
      <w:suff w:val="tab"/>
      <w:lvlText w:val="%8)"/>
      <w:lvlJc w:val="left"/>
      <w:pPr>
        <w:pStyle w:val="730"/>
        <w:ind w:left="3480" w:hanging="420"/>
      </w:pPr>
    </w:lvl>
    <w:lvl w:ilvl="8">
      <w:start w:val="1"/>
      <w:numFmt w:val="lowerRoman"/>
      <w:isLgl w:val="false"/>
      <w:suff w:val="tab"/>
      <w:lvlText w:val="%9."/>
      <w:lvlJc w:val="right"/>
      <w:pPr>
        <w:pStyle w:val="730"/>
        <w:ind w:left="3900" w:hanging="420"/>
      </w:pPr>
    </w:lvl>
  </w:abstractNum>
  <w:abstractNum w:abstractNumId="4">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730"/>
        <w:ind w:left="1080" w:hanging="1080"/>
        <w:tabs>
          <w:tab w:val="num" w:pos="1080" w:leader="none"/>
        </w:tabs>
      </w:pPr>
      <w:rPr>
        <w:rFonts w:hint="eastAsia" w:cs="Times New Roman"/>
      </w:rPr>
    </w:lvl>
    <w:lvl w:ilvl="1">
      <w:start w:val="1"/>
      <w:numFmt w:val="decimal"/>
      <w:isLgl w:val="false"/>
      <w:suff w:val="tab"/>
      <w:lvlText w:val="%2."/>
      <w:lvlJc w:val="left"/>
      <w:pPr>
        <w:pStyle w:val="73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0"/>
        <w:ind w:left="1260" w:hanging="420"/>
        <w:tabs>
          <w:tab w:val="num" w:pos="1260" w:leader="none"/>
        </w:tabs>
      </w:pPr>
      <w:rPr>
        <w:rFonts w:cs="Times New Roman"/>
      </w:rPr>
    </w:lvl>
    <w:lvl w:ilvl="3">
      <w:start w:val="1"/>
      <w:numFmt w:val="decimal"/>
      <w:isLgl w:val="false"/>
      <w:suff w:val="tab"/>
      <w:lvlText w:val="%4."/>
      <w:lvlJc w:val="left"/>
      <w:pPr>
        <w:pStyle w:val="730"/>
        <w:ind w:left="1680" w:hanging="420"/>
        <w:tabs>
          <w:tab w:val="num" w:pos="1680" w:leader="none"/>
        </w:tabs>
      </w:pPr>
      <w:rPr>
        <w:rFonts w:cs="Times New Roman"/>
      </w:rPr>
    </w:lvl>
    <w:lvl w:ilvl="4">
      <w:start w:val="1"/>
      <w:numFmt w:val="lowerLetter"/>
      <w:isLgl w:val="false"/>
      <w:suff w:val="tab"/>
      <w:lvlText w:val="%5)"/>
      <w:lvlJc w:val="left"/>
      <w:pPr>
        <w:pStyle w:val="730"/>
        <w:ind w:left="2100" w:hanging="420"/>
        <w:tabs>
          <w:tab w:val="num" w:pos="2100" w:leader="none"/>
        </w:tabs>
      </w:pPr>
      <w:rPr>
        <w:rFonts w:cs="Times New Roman"/>
      </w:rPr>
    </w:lvl>
    <w:lvl w:ilvl="5">
      <w:start w:val="1"/>
      <w:numFmt w:val="lowerRoman"/>
      <w:isLgl w:val="false"/>
      <w:suff w:val="tab"/>
      <w:lvlText w:val="%6."/>
      <w:lvlJc w:val="right"/>
      <w:pPr>
        <w:pStyle w:val="730"/>
        <w:ind w:left="2520" w:hanging="420"/>
        <w:tabs>
          <w:tab w:val="num" w:pos="2520" w:leader="none"/>
        </w:tabs>
      </w:pPr>
      <w:rPr>
        <w:rFonts w:cs="Times New Roman"/>
      </w:rPr>
    </w:lvl>
    <w:lvl w:ilvl="6">
      <w:start w:val="1"/>
      <w:numFmt w:val="decimal"/>
      <w:isLgl w:val="false"/>
      <w:suff w:val="tab"/>
      <w:lvlText w:val="%7."/>
      <w:lvlJc w:val="left"/>
      <w:pPr>
        <w:pStyle w:val="730"/>
        <w:ind w:left="2940" w:hanging="420"/>
        <w:tabs>
          <w:tab w:val="num" w:pos="2940" w:leader="none"/>
        </w:tabs>
      </w:pPr>
      <w:rPr>
        <w:rFonts w:cs="Times New Roman"/>
      </w:rPr>
    </w:lvl>
    <w:lvl w:ilvl="7">
      <w:start w:val="1"/>
      <w:numFmt w:val="lowerLetter"/>
      <w:isLgl w:val="false"/>
      <w:suff w:val="tab"/>
      <w:lvlText w:val="%8)"/>
      <w:lvlJc w:val="left"/>
      <w:pPr>
        <w:pStyle w:val="730"/>
        <w:ind w:left="3360" w:hanging="420"/>
        <w:tabs>
          <w:tab w:val="num" w:pos="3360" w:leader="none"/>
        </w:tabs>
      </w:pPr>
      <w:rPr>
        <w:rFonts w:cs="Times New Roman"/>
      </w:rPr>
    </w:lvl>
    <w:lvl w:ilvl="8">
      <w:start w:val="1"/>
      <w:numFmt w:val="lowerRoman"/>
      <w:isLgl w:val="false"/>
      <w:suff w:val="tab"/>
      <w:lvlText w:val="%9."/>
      <w:lvlJc w:val="right"/>
      <w:pPr>
        <w:pStyle w:val="730"/>
        <w:ind w:left="3780" w:hanging="420"/>
        <w:tabs>
          <w:tab w:val="num" w:pos="3780" w:leader="none"/>
        </w:tabs>
      </w:pPr>
      <w:rPr>
        <w:rFonts w:cs="Times New Roman"/>
      </w:rPr>
    </w:lvl>
  </w:abstractNum>
  <w:abstractNum w:abstractNumId="7">
    <w:multiLevelType w:val="hybridMultilevel"/>
    <w:lvl w:ilvl="0">
      <w:start w:val="2"/>
      <w:numFmt w:val="chineseCounting"/>
      <w:isLgl w:val="false"/>
      <w:suff w:val="nothing"/>
      <w:lvlText w:val="%1、"/>
      <w:lvlJc w:val="left"/>
      <w:pPr>
        <w:pStyle w:val="7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88"/>
      <w:isLgl w:val="false"/>
      <w:suff w:val="tab"/>
      <w:lvlText w:val="%1."/>
      <w:lvlJc w:val="left"/>
      <w:pPr>
        <w:pStyle w:val="730"/>
        <w:ind w:left="360" w:hanging="360"/>
        <w:tabs>
          <w:tab w:val="num" w:pos="360" w:leader="none"/>
        </w:tabs>
      </w:pPr>
      <w:rPr>
        <w:rFonts w:cs="Times New Roman"/>
      </w:rPr>
    </w:lvl>
    <w:lvl w:ilvl="1">
      <w:start w:val="1"/>
      <w:numFmt w:val="lowerLetter"/>
      <w:isLgl w:val="false"/>
      <w:suff w:val="tab"/>
      <w:lvlText w:val="%2)"/>
      <w:lvlJc w:val="left"/>
      <w:pPr>
        <w:pStyle w:val="730"/>
        <w:ind w:left="840" w:hanging="420"/>
        <w:tabs>
          <w:tab w:val="num" w:pos="840" w:leader="none"/>
        </w:tabs>
      </w:pPr>
      <w:rPr>
        <w:rFonts w:cs="Times New Roman"/>
      </w:rPr>
    </w:lvl>
    <w:lvl w:ilvl="2">
      <w:start w:val="1"/>
      <w:numFmt w:val="lowerRoman"/>
      <w:isLgl w:val="false"/>
      <w:suff w:val="tab"/>
      <w:lvlText w:val="%3."/>
      <w:lvlJc w:val="right"/>
      <w:pPr>
        <w:pStyle w:val="730"/>
        <w:ind w:left="1260" w:hanging="420"/>
        <w:tabs>
          <w:tab w:val="num" w:pos="1260" w:leader="none"/>
        </w:tabs>
      </w:pPr>
      <w:rPr>
        <w:rFonts w:cs="Times New Roman"/>
      </w:rPr>
    </w:lvl>
    <w:lvl w:ilvl="3">
      <w:start w:val="1"/>
      <w:numFmt w:val="decimal"/>
      <w:isLgl w:val="false"/>
      <w:suff w:val="tab"/>
      <w:lvlText w:val="%4."/>
      <w:lvlJc w:val="left"/>
      <w:pPr>
        <w:pStyle w:val="730"/>
        <w:ind w:left="1680" w:hanging="420"/>
        <w:tabs>
          <w:tab w:val="num" w:pos="1680" w:leader="none"/>
        </w:tabs>
      </w:pPr>
      <w:rPr>
        <w:rFonts w:cs="Times New Roman"/>
      </w:rPr>
    </w:lvl>
    <w:lvl w:ilvl="4">
      <w:start w:val="1"/>
      <w:numFmt w:val="lowerLetter"/>
      <w:isLgl w:val="false"/>
      <w:suff w:val="tab"/>
      <w:lvlText w:val="%5)"/>
      <w:lvlJc w:val="left"/>
      <w:pPr>
        <w:pStyle w:val="730"/>
        <w:ind w:left="2100" w:hanging="420"/>
        <w:tabs>
          <w:tab w:val="num" w:pos="2100" w:leader="none"/>
        </w:tabs>
      </w:pPr>
      <w:rPr>
        <w:rFonts w:cs="Times New Roman"/>
      </w:rPr>
    </w:lvl>
    <w:lvl w:ilvl="5">
      <w:start w:val="1"/>
      <w:numFmt w:val="lowerRoman"/>
      <w:isLgl w:val="false"/>
      <w:suff w:val="tab"/>
      <w:lvlText w:val="%6."/>
      <w:lvlJc w:val="right"/>
      <w:pPr>
        <w:pStyle w:val="730"/>
        <w:ind w:left="2520" w:hanging="420"/>
        <w:tabs>
          <w:tab w:val="num" w:pos="2520" w:leader="none"/>
        </w:tabs>
      </w:pPr>
      <w:rPr>
        <w:rFonts w:cs="Times New Roman"/>
      </w:rPr>
    </w:lvl>
    <w:lvl w:ilvl="6">
      <w:start w:val="1"/>
      <w:numFmt w:val="decimal"/>
      <w:isLgl w:val="false"/>
      <w:suff w:val="tab"/>
      <w:lvlText w:val="%7."/>
      <w:lvlJc w:val="left"/>
      <w:pPr>
        <w:pStyle w:val="730"/>
        <w:ind w:left="2940" w:hanging="420"/>
        <w:tabs>
          <w:tab w:val="num" w:pos="2940" w:leader="none"/>
        </w:tabs>
      </w:pPr>
      <w:rPr>
        <w:rFonts w:cs="Times New Roman"/>
      </w:rPr>
    </w:lvl>
    <w:lvl w:ilvl="7">
      <w:start w:val="1"/>
      <w:numFmt w:val="lowerLetter"/>
      <w:isLgl w:val="false"/>
      <w:suff w:val="tab"/>
      <w:lvlText w:val="%8)"/>
      <w:lvlJc w:val="left"/>
      <w:pPr>
        <w:pStyle w:val="730"/>
        <w:ind w:left="3360" w:hanging="420"/>
        <w:tabs>
          <w:tab w:val="num" w:pos="3360" w:leader="none"/>
        </w:tabs>
      </w:pPr>
      <w:rPr>
        <w:rFonts w:cs="Times New Roman"/>
      </w:rPr>
    </w:lvl>
    <w:lvl w:ilvl="8">
      <w:start w:val="1"/>
      <w:numFmt w:val="lowerRoman"/>
      <w:isLgl w:val="false"/>
      <w:suff w:val="tab"/>
      <w:lvlText w:val="%9."/>
      <w:lvlJc w:val="right"/>
      <w:pPr>
        <w:pStyle w:val="730"/>
        <w:ind w:left="3780" w:hanging="420"/>
        <w:tabs>
          <w:tab w:val="num" w:pos="3780" w:leader="none"/>
        </w:tabs>
      </w:pPr>
      <w:rPr>
        <w:rFonts w:cs="Times New Roman"/>
      </w:rPr>
    </w:lvl>
  </w:abstractNum>
  <w:abstractNum w:abstractNumId="9">
    <w:multiLevelType w:val="hybridMultilevel"/>
    <w:lvl w:ilvl="0">
      <w:start w:val="3"/>
      <w:numFmt w:val="chineseCounting"/>
      <w:isLgl w:val="false"/>
      <w:suff w:val="space"/>
      <w:lvlText w:val="第%1章"/>
      <w:lvlJc w:val="left"/>
      <w:pPr>
        <w:pStyle w:val="730"/>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73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730"/>
        <w:ind w:left="447"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0"/>
        <w:ind w:left="735" w:hanging="420"/>
        <w:tabs>
          <w:tab w:val="num" w:pos="840" w:leader="none"/>
        </w:tabs>
      </w:pPr>
      <w:rPr>
        <w:rFonts w:cs="Times New Roman"/>
      </w:rPr>
    </w:lvl>
    <w:lvl w:ilvl="2">
      <w:start w:val="10"/>
      <w:numFmt w:val="decimal"/>
      <w:isLgl w:val="false"/>
      <w:suff w:val="tab"/>
      <w:lvlText w:val="%3."/>
      <w:lvlJc w:val="left"/>
      <w:pPr>
        <w:pStyle w:val="730"/>
        <w:ind w:left="1095" w:hanging="360"/>
        <w:tabs>
          <w:tab w:val="num" w:pos="1200" w:leader="none"/>
        </w:tabs>
      </w:pPr>
      <w:rPr>
        <w:rFonts w:cs="Times New Roman"/>
      </w:rPr>
    </w:lvl>
    <w:lvl w:ilvl="3">
      <w:start w:val="1"/>
      <w:numFmt w:val="decimal"/>
      <w:isLgl w:val="false"/>
      <w:suff w:val="tab"/>
      <w:lvlText w:val="%4."/>
      <w:lvlJc w:val="left"/>
      <w:pPr>
        <w:pStyle w:val="730"/>
        <w:ind w:left="1575" w:hanging="420"/>
        <w:tabs>
          <w:tab w:val="num" w:pos="1680" w:leader="none"/>
        </w:tabs>
      </w:pPr>
      <w:rPr>
        <w:rFonts w:cs="Times New Roman"/>
      </w:rPr>
    </w:lvl>
    <w:lvl w:ilvl="4">
      <w:start w:val="1"/>
      <w:numFmt w:val="lowerLetter"/>
      <w:isLgl w:val="false"/>
      <w:suff w:val="tab"/>
      <w:lvlText w:val="%5)"/>
      <w:lvlJc w:val="left"/>
      <w:pPr>
        <w:pStyle w:val="730"/>
        <w:ind w:left="1995" w:hanging="420"/>
        <w:tabs>
          <w:tab w:val="num" w:pos="2100" w:leader="none"/>
        </w:tabs>
      </w:pPr>
      <w:rPr>
        <w:rFonts w:cs="Times New Roman"/>
      </w:rPr>
    </w:lvl>
    <w:lvl w:ilvl="5">
      <w:start w:val="1"/>
      <w:numFmt w:val="lowerRoman"/>
      <w:isLgl w:val="false"/>
      <w:suff w:val="tab"/>
      <w:lvlText w:val="%6."/>
      <w:lvlJc w:val="right"/>
      <w:pPr>
        <w:pStyle w:val="730"/>
        <w:ind w:left="2415" w:hanging="420"/>
        <w:tabs>
          <w:tab w:val="num" w:pos="2520" w:leader="none"/>
        </w:tabs>
      </w:pPr>
      <w:rPr>
        <w:rFonts w:cs="Times New Roman"/>
      </w:rPr>
    </w:lvl>
    <w:lvl w:ilvl="6">
      <w:start w:val="1"/>
      <w:numFmt w:val="decimal"/>
      <w:isLgl w:val="false"/>
      <w:suff w:val="tab"/>
      <w:lvlText w:val="%7."/>
      <w:lvlJc w:val="left"/>
      <w:pPr>
        <w:pStyle w:val="730"/>
        <w:ind w:left="2835" w:hanging="420"/>
        <w:tabs>
          <w:tab w:val="num" w:pos="2940" w:leader="none"/>
        </w:tabs>
      </w:pPr>
      <w:rPr>
        <w:rFonts w:cs="Times New Roman"/>
      </w:rPr>
    </w:lvl>
    <w:lvl w:ilvl="7">
      <w:start w:val="1"/>
      <w:numFmt w:val="lowerLetter"/>
      <w:isLgl w:val="false"/>
      <w:suff w:val="tab"/>
      <w:lvlText w:val="%8)"/>
      <w:lvlJc w:val="left"/>
      <w:pPr>
        <w:pStyle w:val="730"/>
        <w:ind w:left="3255" w:hanging="420"/>
        <w:tabs>
          <w:tab w:val="num" w:pos="3360" w:leader="none"/>
        </w:tabs>
      </w:pPr>
      <w:rPr>
        <w:rFonts w:cs="Times New Roman"/>
      </w:rPr>
    </w:lvl>
    <w:lvl w:ilvl="8">
      <w:start w:val="1"/>
      <w:numFmt w:val="lowerRoman"/>
      <w:isLgl w:val="false"/>
      <w:suff w:val="tab"/>
      <w:lvlText w:val="%9."/>
      <w:lvlJc w:val="right"/>
      <w:pPr>
        <w:pStyle w:val="730"/>
        <w:ind w:left="3675" w:hanging="420"/>
        <w:tabs>
          <w:tab w:val="num" w:pos="3780" w:leader="none"/>
        </w:tabs>
      </w:pPr>
      <w:rPr>
        <w:rFonts w:cs="Times New Roman"/>
      </w:rPr>
    </w:lvl>
  </w:abstractNum>
  <w:abstractNum w:abstractNumId="12">
    <w:multiLevelType w:val="hybridMultilevel"/>
    <w:lvl w:ilvl="0">
      <w:start w:val="2"/>
      <w:numFmt w:val="chineseCounting"/>
      <w:isLgl w:val="false"/>
      <w:suff w:val="nothing"/>
      <w:lvlText w:val="%1、"/>
      <w:lvlJc w:val="left"/>
      <w:pPr>
        <w:pStyle w:val="730"/>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3">
    <w:multiLevelType w:val="hybridMultilevel"/>
    <w:lvl w:ilvl="0">
      <w:start w:val="1"/>
      <w:numFmt w:val="decimal"/>
      <w:pStyle w:val="1174"/>
      <w:isLgl w:val="false"/>
      <w:suff w:val="nothing"/>
      <w:lvlText w:val="%1."/>
      <w:lvlJc w:val="left"/>
      <w:pPr>
        <w:pStyle w:val="730"/>
        <w:ind w:left="709" w:hanging="709"/>
      </w:pPr>
      <w:rPr>
        <w:rFonts w:hint="eastAsia"/>
      </w:rPr>
    </w:lvl>
    <w:lvl w:ilvl="1">
      <w:start w:val="1"/>
      <w:numFmt w:val="decimal"/>
      <w:isLgl w:val="false"/>
      <w:suff w:val="tab"/>
      <w:lvlText w:val="%1.%2"/>
      <w:lvlJc w:val="left"/>
      <w:pPr>
        <w:pStyle w:val="730"/>
        <w:ind w:left="709" w:hanging="709"/>
        <w:tabs>
          <w:tab w:val="num" w:pos="709" w:leader="none"/>
        </w:tabs>
      </w:pPr>
      <w:rPr>
        <w:rFonts w:hint="eastAsia"/>
      </w:rPr>
    </w:lvl>
    <w:lvl w:ilvl="2">
      <w:start w:val="1"/>
      <w:numFmt w:val="decimal"/>
      <w:isLgl w:val="false"/>
      <w:suff w:val="tab"/>
      <w:lvlText w:val="%1.%2.%3."/>
      <w:lvlJc w:val="left"/>
      <w:pPr>
        <w:pStyle w:val="730"/>
        <w:ind w:left="425" w:hanging="425"/>
        <w:tabs>
          <w:tab w:val="num" w:pos="425" w:leader="none"/>
        </w:tabs>
      </w:pPr>
      <w:rPr>
        <w:rFonts w:hint="eastAsia"/>
      </w:rPr>
    </w:lvl>
    <w:lvl w:ilvl="3">
      <w:start w:val="1"/>
      <w:numFmt w:val="decimal"/>
      <w:isLgl w:val="false"/>
      <w:suff w:val="tab"/>
      <w:lvlText w:val="%1.%2.%3.%4."/>
      <w:lvlJc w:val="left"/>
      <w:pPr>
        <w:pStyle w:val="730"/>
        <w:ind w:left="851" w:hanging="851"/>
        <w:tabs>
          <w:tab w:val="num" w:pos="851" w:leader="none"/>
        </w:tabs>
      </w:pPr>
      <w:rPr>
        <w:rFonts w:hint="eastAsia"/>
      </w:rPr>
    </w:lvl>
    <w:lvl w:ilvl="4">
      <w:start w:val="1"/>
      <w:numFmt w:val="decimal"/>
      <w:isLgl w:val="false"/>
      <w:suff w:val="tab"/>
      <w:lvlText w:val="%1.%2.%3.%4.%5."/>
      <w:lvlJc w:val="left"/>
      <w:pPr>
        <w:pStyle w:val="730"/>
        <w:ind w:left="992" w:hanging="992"/>
        <w:tabs>
          <w:tab w:val="num" w:pos="992" w:leader="none"/>
        </w:tabs>
      </w:pPr>
      <w:rPr>
        <w:rFonts w:hint="eastAsia"/>
      </w:rPr>
    </w:lvl>
    <w:lvl w:ilvl="5">
      <w:start w:val="1"/>
      <w:numFmt w:val="decimal"/>
      <w:isLgl w:val="false"/>
      <w:suff w:val="tab"/>
      <w:lvlText w:val="%1.%2.%3.%4.%5.%6."/>
      <w:lvlJc w:val="left"/>
      <w:pPr>
        <w:pStyle w:val="730"/>
        <w:ind w:left="1134" w:hanging="1134"/>
        <w:tabs>
          <w:tab w:val="num" w:pos="1134" w:leader="none"/>
        </w:tabs>
      </w:pPr>
      <w:rPr>
        <w:rFonts w:hint="eastAsia"/>
      </w:rPr>
    </w:lvl>
    <w:lvl w:ilvl="6">
      <w:start w:val="1"/>
      <w:numFmt w:val="decimal"/>
      <w:isLgl w:val="false"/>
      <w:suff w:val="tab"/>
      <w:lvlText w:val="%1.%2.%3.%4.%5.%6.%7."/>
      <w:lvlJc w:val="left"/>
      <w:pPr>
        <w:pStyle w:val="730"/>
        <w:ind w:left="1276" w:hanging="1276"/>
        <w:tabs>
          <w:tab w:val="num" w:pos="1276" w:leader="none"/>
        </w:tabs>
      </w:pPr>
      <w:rPr>
        <w:rFonts w:hint="eastAsia"/>
      </w:rPr>
    </w:lvl>
    <w:lvl w:ilvl="7">
      <w:start w:val="1"/>
      <w:numFmt w:val="decimal"/>
      <w:isLgl w:val="false"/>
      <w:suff w:val="tab"/>
      <w:lvlText w:val="%1.%2.%3.%4.%5.%6.%7.%8."/>
      <w:lvlJc w:val="left"/>
      <w:pPr>
        <w:pStyle w:val="730"/>
        <w:ind w:left="1418" w:hanging="1418"/>
        <w:tabs>
          <w:tab w:val="num" w:pos="1418" w:leader="none"/>
        </w:tabs>
      </w:pPr>
      <w:rPr>
        <w:rFonts w:hint="eastAsia"/>
      </w:rPr>
    </w:lvl>
    <w:lvl w:ilvl="8">
      <w:start w:val="1"/>
      <w:numFmt w:val="decimal"/>
      <w:isLgl w:val="false"/>
      <w:suff w:val="tab"/>
      <w:lvlText w:val="%1.%2.%3.%4.%5.%6.%7.%8.%9."/>
      <w:lvlJc w:val="left"/>
      <w:pPr>
        <w:pStyle w:val="730"/>
        <w:ind w:left="1559" w:hanging="1559"/>
        <w:tabs>
          <w:tab w:val="num" w:pos="1559" w:leader="none"/>
        </w:tabs>
      </w:pPr>
      <w:rPr>
        <w:rFonts w:hint="eastAsia"/>
      </w:rPr>
    </w:lvl>
  </w:abstractNum>
  <w:abstractNum w:abstractNumId="14">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1"/>
      <w:numFmt w:val="decimal"/>
      <w:isLgl w:val="false"/>
      <w:suff w:val="nothing"/>
      <w:lvlText w:val="%2.%3 "/>
      <w:lvlJc w:val="left"/>
      <w:pPr>
        <w:pStyle w:val="730"/>
        <w:ind w:left="0" w:firstLine="0"/>
      </w:pPr>
      <w:rPr>
        <w:rFonts w:hint="eastAsia"/>
      </w:rPr>
    </w:lvl>
    <w:lvl w:ilvl="3">
      <w:start w:val="1"/>
      <w:numFmt w:val="decimal"/>
      <w:isLgl w:val="false"/>
      <w:suff w:val="nothing"/>
      <w:lvlText w:val="%2.%3.%4 "/>
      <w:lvlJc w:val="left"/>
      <w:pPr>
        <w:pStyle w:val="730"/>
        <w:ind w:left="0" w:firstLine="0"/>
      </w:pPr>
      <w:rPr>
        <w:rFonts w:hint="eastAsia"/>
      </w:rPr>
    </w:lvl>
    <w:lvl w:ilvl="4">
      <w:start w:val="1"/>
      <w:numFmt w:val="decimal"/>
      <w:isLgl w:val="false"/>
      <w:suff w:val="nothing"/>
      <w:lvlText w:val="%2.%3.%4.%5 "/>
      <w:lvlJc w:val="left"/>
      <w:pPr>
        <w:pStyle w:val="730"/>
        <w:ind w:left="0" w:firstLine="0"/>
      </w:pPr>
      <w:rPr>
        <w:rFonts w:hint="eastAsia"/>
      </w:rPr>
    </w:lvl>
    <w:lvl w:ilvl="5">
      <w:start w:val="1"/>
      <w:numFmt w:val="decimal"/>
      <w:pStyle w:val="1100"/>
      <w:isLgl w:val="false"/>
      <w:suff w:val="nothing"/>
      <w:lvlText w:val=""/>
      <w:lvlJc w:val="left"/>
      <w:pPr>
        <w:pStyle w:val="730"/>
        <w:ind w:left="0" w:firstLine="0"/>
      </w:pPr>
      <w:rPr>
        <w:rFonts w:hint="eastAsia"/>
      </w:rPr>
    </w:lvl>
    <w:lvl w:ilvl="6">
      <w:start w:val="1"/>
      <w:numFmt w:val="decimal"/>
      <w:pStyle w:val="1102"/>
      <w:isLgl w:val="false"/>
      <w:suff w:val="nothing"/>
      <w:lvlText w:val=""/>
      <w:lvlJc w:val="left"/>
      <w:pPr>
        <w:pStyle w:val="730"/>
        <w:ind w:left="0" w:firstLine="0"/>
      </w:pPr>
      <w:rPr>
        <w:rFonts w:hint="eastAsia"/>
      </w:rPr>
    </w:lvl>
    <w:lvl w:ilvl="7">
      <w:start w:val="1"/>
      <w:numFmt w:val="decimal"/>
      <w:pStyle w:val="1104"/>
      <w:isLgl w:val="false"/>
      <w:suff w:val="nothing"/>
      <w:lvlText w:val=""/>
      <w:lvlJc w:val="left"/>
      <w:pPr>
        <w:pStyle w:val="730"/>
        <w:ind w:left="0" w:firstLine="0"/>
      </w:pPr>
      <w:rPr>
        <w:rFonts w:hint="eastAsia"/>
      </w:rPr>
    </w:lvl>
    <w:lvl w:ilvl="8">
      <w:start w:val="1"/>
      <w:numFmt w:val="decimal"/>
      <w:pStyle w:val="1106"/>
      <w:isLgl w:val="false"/>
      <w:suff w:val="nothing"/>
      <w:lvlText w:val=""/>
      <w:lvlJc w:val="left"/>
      <w:pPr>
        <w:pStyle w:val="730"/>
        <w:ind w:left="0" w:firstLine="0"/>
      </w:pPr>
      <w:rPr>
        <w:rFonts w:hint="eastAsia"/>
      </w:rPr>
    </w:lvl>
  </w:abstractNum>
  <w:abstractNum w:abstractNumId="15">
    <w:multiLevelType w:val="hybridMultilevel"/>
    <w:lvl w:ilvl="0">
      <w:start w:val="1"/>
      <w:numFmt w:val="japaneseCounting"/>
      <w:isLgl w:val="false"/>
      <w:suff w:val="tab"/>
      <w:lvlText w:val="%1、"/>
      <w:lvlJc w:val="left"/>
      <w:pPr>
        <w:pStyle w:val="730"/>
        <w:ind w:left="450" w:hanging="450"/>
        <w:tabs>
          <w:tab w:val="num" w:pos="450" w:leader="none"/>
        </w:tabs>
      </w:pPr>
      <w:rPr>
        <w:rFonts w:hint="eastAsia" w:cs="Times New Roman"/>
      </w:rPr>
    </w:lvl>
    <w:lvl w:ilvl="1">
      <w:start w:val="1"/>
      <w:numFmt w:val="decimal"/>
      <w:isLgl w:val="false"/>
      <w:suff w:val="tab"/>
      <w:lvlText w:val="%2."/>
      <w:lvlJc w:val="left"/>
      <w:pPr>
        <w:pStyle w:val="730"/>
        <w:ind w:left="780" w:hanging="360"/>
        <w:tabs>
          <w:tab w:val="num" w:pos="780" w:leader="none"/>
        </w:tabs>
      </w:pPr>
      <w:rPr>
        <w:rFonts w:hint="eastAsia" w:cs="Times New Roman"/>
      </w:rPr>
    </w:lvl>
    <w:lvl w:ilvl="2">
      <w:start w:val="1"/>
      <w:numFmt w:val="lowerRoman"/>
      <w:isLgl w:val="false"/>
      <w:suff w:val="tab"/>
      <w:lvlText w:val="%3."/>
      <w:lvlJc w:val="right"/>
      <w:pPr>
        <w:pStyle w:val="730"/>
        <w:ind w:left="1260" w:hanging="420"/>
        <w:tabs>
          <w:tab w:val="num" w:pos="1260" w:leader="none"/>
        </w:tabs>
      </w:pPr>
      <w:rPr>
        <w:rFonts w:cs="Times New Roman"/>
      </w:rPr>
    </w:lvl>
    <w:lvl w:ilvl="3">
      <w:start w:val="1"/>
      <w:numFmt w:val="decimal"/>
      <w:isLgl w:val="false"/>
      <w:suff w:val="tab"/>
      <w:lvlText w:val="%4."/>
      <w:lvlJc w:val="left"/>
      <w:pPr>
        <w:pStyle w:val="730"/>
        <w:ind w:left="1680" w:hanging="420"/>
        <w:tabs>
          <w:tab w:val="num" w:pos="1680" w:leader="none"/>
        </w:tabs>
      </w:pPr>
      <w:rPr>
        <w:rFonts w:cs="Times New Roman"/>
      </w:rPr>
    </w:lvl>
    <w:lvl w:ilvl="4">
      <w:start w:val="1"/>
      <w:numFmt w:val="lowerLetter"/>
      <w:isLgl w:val="false"/>
      <w:suff w:val="tab"/>
      <w:lvlText w:val="%5)"/>
      <w:lvlJc w:val="left"/>
      <w:pPr>
        <w:pStyle w:val="730"/>
        <w:ind w:left="2100" w:hanging="420"/>
        <w:tabs>
          <w:tab w:val="num" w:pos="2100" w:leader="none"/>
        </w:tabs>
      </w:pPr>
      <w:rPr>
        <w:rFonts w:cs="Times New Roman"/>
      </w:rPr>
    </w:lvl>
    <w:lvl w:ilvl="5">
      <w:start w:val="1"/>
      <w:numFmt w:val="lowerRoman"/>
      <w:isLgl w:val="false"/>
      <w:suff w:val="tab"/>
      <w:lvlText w:val="%6."/>
      <w:lvlJc w:val="right"/>
      <w:pPr>
        <w:pStyle w:val="730"/>
        <w:ind w:left="2520" w:hanging="420"/>
        <w:tabs>
          <w:tab w:val="num" w:pos="2520" w:leader="none"/>
        </w:tabs>
      </w:pPr>
      <w:rPr>
        <w:rFonts w:cs="Times New Roman"/>
      </w:rPr>
    </w:lvl>
    <w:lvl w:ilvl="6">
      <w:start w:val="1"/>
      <w:numFmt w:val="decimal"/>
      <w:isLgl w:val="false"/>
      <w:suff w:val="tab"/>
      <w:lvlText w:val="%7."/>
      <w:lvlJc w:val="left"/>
      <w:pPr>
        <w:pStyle w:val="730"/>
        <w:ind w:left="2940" w:hanging="420"/>
        <w:tabs>
          <w:tab w:val="num" w:pos="2940" w:leader="none"/>
        </w:tabs>
      </w:pPr>
      <w:rPr>
        <w:rFonts w:cs="Times New Roman"/>
      </w:rPr>
    </w:lvl>
    <w:lvl w:ilvl="7">
      <w:start w:val="1"/>
      <w:numFmt w:val="lowerLetter"/>
      <w:isLgl w:val="false"/>
      <w:suff w:val="tab"/>
      <w:lvlText w:val="%8)"/>
      <w:lvlJc w:val="left"/>
      <w:pPr>
        <w:pStyle w:val="730"/>
        <w:ind w:left="3360" w:hanging="420"/>
        <w:tabs>
          <w:tab w:val="num" w:pos="3360" w:leader="none"/>
        </w:tabs>
      </w:pPr>
      <w:rPr>
        <w:rFonts w:cs="Times New Roman"/>
      </w:rPr>
    </w:lvl>
    <w:lvl w:ilvl="8">
      <w:start w:val="1"/>
      <w:numFmt w:val="lowerRoman"/>
      <w:isLgl w:val="false"/>
      <w:suff w:val="tab"/>
      <w:lvlText w:val="%9."/>
      <w:lvlJc w:val="right"/>
      <w:pPr>
        <w:pStyle w:val="730"/>
        <w:ind w:left="3780" w:hanging="420"/>
        <w:tabs>
          <w:tab w:val="num" w:pos="3780" w:leader="none"/>
        </w:tabs>
      </w:pPr>
      <w:rPr>
        <w:rFonts w:cs="Times New Roman"/>
      </w:rPr>
    </w:lvl>
  </w:abstractNum>
  <w:num w:numId="1">
    <w:abstractNumId w:val="8"/>
  </w:num>
  <w:num w:numId="2">
    <w:abstractNumId w:val="3"/>
  </w:num>
  <w:num w:numId="3">
    <w:abstractNumId w:val="14"/>
  </w:num>
  <w:num w:numId="4">
    <w:abstractNumId w:val="2"/>
  </w:num>
  <w:num w:numId="5">
    <w:abstractNumId w:val="13"/>
  </w:num>
  <w:num w:numId="6">
    <w:abstractNumId w:val="10"/>
  </w:num>
  <w:num w:numId="7">
    <w:abstractNumId w:val="0"/>
  </w:num>
  <w:num w:numId="8">
    <w:abstractNumId w:val="9"/>
  </w:num>
  <w:num w:numId="9">
    <w:abstractNumId w:val="15"/>
  </w:num>
  <w:num w:numId="10">
    <w:abstractNumId w:val="7"/>
  </w:num>
  <w:num w:numId="11">
    <w:abstractNumId w:val="6"/>
  </w:num>
  <w:num w:numId="12">
    <w:abstractNumId w:val="12"/>
  </w:num>
  <w:num w:numId="13">
    <w:abstractNumId w:val="5"/>
  </w:num>
  <w:num w:numId="14">
    <w:abstractNumId w:val="4"/>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929"/>
    <w:uiPriority w:val="9"/>
    <w:qFormat/>
    <w:pPr>
      <w:keepLines/>
      <w:keepNext/>
      <w:spacing w:before="480" w:after="200"/>
      <w:outlineLvl w:val="0"/>
    </w:pPr>
    <w:rPr>
      <w:rFonts w:ascii="Arial" w:hAnsi="Arial" w:eastAsia="Arial" w:cs="Arial"/>
      <w:sz w:val="40"/>
      <w:szCs w:val="40"/>
    </w:rPr>
  </w:style>
  <w:style w:type="paragraph" w:styleId="14">
    <w:name w:val="Heading 2"/>
    <w:basedOn w:val="730"/>
    <w:next w:val="730"/>
    <w:link w:val="930"/>
    <w:uiPriority w:val="9"/>
    <w:unhideWhenUsed/>
    <w:qFormat/>
    <w:pPr>
      <w:keepLines/>
      <w:keepNext/>
      <w:spacing w:before="360" w:after="200"/>
      <w:outlineLvl w:val="1"/>
    </w:pPr>
    <w:rPr>
      <w:rFonts w:ascii="Arial" w:hAnsi="Arial" w:eastAsia="Arial" w:cs="Arial"/>
      <w:sz w:val="34"/>
    </w:rPr>
  </w:style>
  <w:style w:type="paragraph" w:styleId="16">
    <w:name w:val="Heading 3"/>
    <w:basedOn w:val="730"/>
    <w:next w:val="730"/>
    <w:link w:val="9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0"/>
    <w:next w:val="730"/>
    <w:link w:val="9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0"/>
    <w:next w:val="730"/>
    <w:link w:val="9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0"/>
    <w:next w:val="730"/>
    <w:link w:val="9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0"/>
    <w:next w:val="730"/>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0"/>
    <w:next w:val="730"/>
    <w:link w:val="9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0"/>
    <w:next w:val="730"/>
    <w:link w:val="93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0"/>
    <w:next w:val="730"/>
    <w:link w:val="939"/>
    <w:uiPriority w:val="10"/>
    <w:qFormat/>
    <w:pPr>
      <w:contextualSpacing/>
      <w:spacing w:before="300" w:after="200"/>
    </w:pPr>
    <w:rPr>
      <w:sz w:val="48"/>
      <w:szCs w:val="48"/>
    </w:rPr>
  </w:style>
  <w:style w:type="paragraph" w:styleId="35">
    <w:name w:val="Subtitle"/>
    <w:basedOn w:val="730"/>
    <w:next w:val="730"/>
    <w:link w:val="940"/>
    <w:uiPriority w:val="11"/>
    <w:qFormat/>
    <w:pPr>
      <w:spacing w:before="200" w:after="200"/>
    </w:pPr>
    <w:rPr>
      <w:sz w:val="24"/>
      <w:szCs w:val="24"/>
    </w:rPr>
  </w:style>
  <w:style w:type="paragraph" w:styleId="41">
    <w:name w:val="Header"/>
    <w:basedOn w:val="730"/>
    <w:link w:val="947"/>
    <w:uiPriority w:val="99"/>
    <w:unhideWhenUsed/>
    <w:pPr>
      <w:spacing w:after="0" w:line="240" w:lineRule="auto"/>
      <w:tabs>
        <w:tab w:val="center" w:pos="7143" w:leader="none"/>
        <w:tab w:val="right" w:pos="14287" w:leader="none"/>
      </w:tabs>
    </w:pPr>
  </w:style>
  <w:style w:type="paragraph" w:styleId="43">
    <w:name w:val="Footer"/>
    <w:basedOn w:val="730"/>
    <w:link w:val="949"/>
    <w:uiPriority w:val="99"/>
    <w:unhideWhenUsed/>
    <w:pPr>
      <w:spacing w:after="0" w:line="240" w:lineRule="auto"/>
      <w:tabs>
        <w:tab w:val="center" w:pos="7143" w:leader="none"/>
        <w:tab w:val="right" w:pos="14287" w:leader="none"/>
      </w:tabs>
    </w:pPr>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0"/>
    <w:link w:val="95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0"/>
    <w:link w:val="95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42"/>
    <w:link w:val="730"/>
    <w:qFormat/>
    <w:pPr>
      <w:jc w:val="both"/>
      <w:widowControl w:val="off"/>
    </w:pPr>
    <w:rPr>
      <w:rFonts w:ascii="Calibri" w:hAnsi="Calibri" w:eastAsia="Arial" w:cs="Times New Roman"/>
      <w:sz w:val="21"/>
      <w:szCs w:val="22"/>
      <w:lang w:val="en-US" w:eastAsia="zh-CN" w:bidi="ar-SA"/>
    </w:rPr>
  </w:style>
  <w:style w:type="paragraph" w:styleId="731">
    <w:name w:val="标题 1"/>
    <w:basedOn w:val="730"/>
    <w:next w:val="730"/>
    <w:link w:val="730"/>
    <w:uiPriority w:val="9"/>
    <w:qFormat/>
    <w:pPr>
      <w:keepLines/>
      <w:keepNext/>
      <w:spacing w:before="480" w:after="200"/>
      <w:outlineLvl w:val="0"/>
    </w:pPr>
    <w:rPr>
      <w:rFonts w:ascii="Arial" w:hAnsi="Arial" w:cs="Arial"/>
      <w:sz w:val="40"/>
      <w:szCs w:val="40"/>
    </w:rPr>
  </w:style>
  <w:style w:type="paragraph" w:styleId="732">
    <w:name w:val="标题 2"/>
    <w:basedOn w:val="730"/>
    <w:next w:val="730"/>
    <w:link w:val="730"/>
    <w:uiPriority w:val="9"/>
    <w:unhideWhenUsed/>
    <w:qFormat/>
    <w:pPr>
      <w:keepLines/>
      <w:keepNext/>
      <w:spacing w:before="360" w:after="200"/>
      <w:outlineLvl w:val="1"/>
    </w:pPr>
    <w:rPr>
      <w:rFonts w:ascii="Arial" w:hAnsi="Arial" w:cs="Arial"/>
      <w:sz w:val="34"/>
    </w:rPr>
  </w:style>
  <w:style w:type="paragraph" w:styleId="733">
    <w:name w:val="标题 3"/>
    <w:basedOn w:val="730"/>
    <w:next w:val="730"/>
    <w:link w:val="730"/>
    <w:uiPriority w:val="9"/>
    <w:unhideWhenUsed/>
    <w:qFormat/>
    <w:pPr>
      <w:keepLines/>
      <w:keepNext/>
      <w:spacing w:before="320" w:after="200"/>
      <w:outlineLvl w:val="2"/>
    </w:pPr>
    <w:rPr>
      <w:rFonts w:ascii="Arial" w:hAnsi="Arial" w:cs="Arial"/>
      <w:sz w:val="30"/>
      <w:szCs w:val="30"/>
    </w:rPr>
  </w:style>
  <w:style w:type="paragraph" w:styleId="734">
    <w:name w:val="标题 4"/>
    <w:basedOn w:val="730"/>
    <w:next w:val="730"/>
    <w:link w:val="730"/>
    <w:uiPriority w:val="9"/>
    <w:unhideWhenUsed/>
    <w:qFormat/>
    <w:pPr>
      <w:keepLines/>
      <w:keepNext/>
      <w:spacing w:before="320" w:after="200"/>
      <w:outlineLvl w:val="3"/>
    </w:pPr>
    <w:rPr>
      <w:rFonts w:ascii="Arial" w:hAnsi="Arial" w:cs="Arial"/>
      <w:b/>
      <w:bCs/>
      <w:sz w:val="26"/>
      <w:szCs w:val="26"/>
    </w:rPr>
  </w:style>
  <w:style w:type="paragraph" w:styleId="735">
    <w:name w:val="标题 5"/>
    <w:basedOn w:val="730"/>
    <w:next w:val="730"/>
    <w:link w:val="730"/>
    <w:uiPriority w:val="9"/>
    <w:unhideWhenUsed/>
    <w:qFormat/>
    <w:pPr>
      <w:keepLines/>
      <w:keepNext/>
      <w:spacing w:before="320" w:after="200"/>
      <w:outlineLvl w:val="4"/>
    </w:pPr>
    <w:rPr>
      <w:rFonts w:ascii="Arial" w:hAnsi="Arial" w:cs="Arial"/>
      <w:b/>
      <w:bCs/>
      <w:sz w:val="24"/>
      <w:szCs w:val="24"/>
    </w:rPr>
  </w:style>
  <w:style w:type="paragraph" w:styleId="736">
    <w:name w:val="标题 6"/>
    <w:basedOn w:val="730"/>
    <w:next w:val="730"/>
    <w:link w:val="730"/>
    <w:uiPriority w:val="9"/>
    <w:unhideWhenUsed/>
    <w:qFormat/>
    <w:pPr>
      <w:keepLines/>
      <w:keepNext/>
      <w:spacing w:before="320" w:after="200"/>
      <w:outlineLvl w:val="5"/>
    </w:pPr>
    <w:rPr>
      <w:rFonts w:ascii="Arial" w:hAnsi="Arial" w:cs="Arial"/>
      <w:b/>
      <w:bCs/>
      <w:sz w:val="22"/>
    </w:rPr>
  </w:style>
  <w:style w:type="paragraph" w:styleId="737">
    <w:name w:val="标题 7"/>
    <w:basedOn w:val="730"/>
    <w:next w:val="730"/>
    <w:link w:val="730"/>
    <w:uiPriority w:val="9"/>
    <w:unhideWhenUsed/>
    <w:qFormat/>
    <w:pPr>
      <w:keepLines/>
      <w:keepNext/>
      <w:spacing w:before="320" w:after="200"/>
      <w:outlineLvl w:val="6"/>
    </w:pPr>
    <w:rPr>
      <w:rFonts w:ascii="Arial" w:hAnsi="Arial" w:cs="Arial"/>
      <w:b/>
      <w:bCs/>
      <w:i/>
      <w:iCs/>
      <w:sz w:val="22"/>
    </w:rPr>
  </w:style>
  <w:style w:type="paragraph" w:styleId="738">
    <w:name w:val="标题 8"/>
    <w:basedOn w:val="730"/>
    <w:next w:val="730"/>
    <w:link w:val="730"/>
    <w:uiPriority w:val="9"/>
    <w:unhideWhenUsed/>
    <w:qFormat/>
    <w:pPr>
      <w:keepLines/>
      <w:keepNext/>
      <w:spacing w:before="320" w:after="200"/>
      <w:outlineLvl w:val="7"/>
    </w:pPr>
    <w:rPr>
      <w:rFonts w:ascii="Arial" w:hAnsi="Arial" w:cs="Arial"/>
      <w:i/>
      <w:iCs/>
      <w:sz w:val="22"/>
    </w:rPr>
  </w:style>
  <w:style w:type="paragraph" w:styleId="739">
    <w:name w:val="标题 9"/>
    <w:basedOn w:val="730"/>
    <w:next w:val="730"/>
    <w:link w:val="730"/>
    <w:uiPriority w:val="9"/>
    <w:unhideWhenUsed/>
    <w:qFormat/>
    <w:pPr>
      <w:keepLines/>
      <w:keepNext/>
      <w:spacing w:before="320" w:after="200"/>
      <w:outlineLvl w:val="8"/>
    </w:pPr>
    <w:rPr>
      <w:rFonts w:ascii="Arial" w:hAnsi="Arial" w:cs="Arial"/>
      <w:i/>
      <w:iCs/>
      <w:szCs w:val="21"/>
    </w:rPr>
  </w:style>
  <w:style w:type="character" w:styleId="740">
    <w:name w:val="默认段落字体"/>
    <w:next w:val="740"/>
    <w:link w:val="730"/>
    <w:uiPriority w:val="1"/>
    <w:unhideWhenUsed/>
    <w:qFormat/>
  </w:style>
  <w:style w:type="table" w:styleId="741">
    <w:name w:val="普通表格"/>
    <w:next w:val="741"/>
    <w:link w:val="730"/>
    <w:uiPriority w:val="99"/>
    <w:unhideWhenUsed/>
    <w:qFormat/>
    <w:tblPr/>
  </w:style>
  <w:style w:type="paragraph" w:styleId="742">
    <w:name w:val="正文文本"/>
    <w:basedOn w:val="730"/>
    <w:next w:val="730"/>
    <w:link w:val="730"/>
    <w:uiPriority w:val="99"/>
    <w:qFormat/>
    <w:rPr>
      <w:rFonts w:ascii="华文中宋" w:hAnsi="Times New Roman" w:eastAsia="华文中宋"/>
      <w:bCs/>
      <w:sz w:val="28"/>
      <w:szCs w:val="20"/>
    </w:rPr>
  </w:style>
  <w:style w:type="paragraph" w:styleId="743">
    <w:name w:val="目录 7"/>
    <w:basedOn w:val="730"/>
    <w:next w:val="730"/>
    <w:link w:val="730"/>
    <w:uiPriority w:val="39"/>
    <w:unhideWhenUsed/>
    <w:qFormat/>
    <w:pPr>
      <w:ind w:left="1701"/>
      <w:spacing w:after="57"/>
    </w:pPr>
  </w:style>
  <w:style w:type="paragraph" w:styleId="744">
    <w:name w:val="题注"/>
    <w:basedOn w:val="730"/>
    <w:next w:val="730"/>
    <w:link w:val="730"/>
    <w:uiPriority w:val="35"/>
    <w:unhideWhenUsed/>
    <w:qFormat/>
    <w:pPr>
      <w:spacing w:line="276" w:lineRule="auto"/>
    </w:pPr>
    <w:rPr>
      <w:b/>
      <w:bCs/>
      <w:color w:val="4f81bd"/>
      <w:sz w:val="18"/>
      <w:szCs w:val="18"/>
    </w:rPr>
  </w:style>
  <w:style w:type="paragraph" w:styleId="745">
    <w:name w:val="批注文字"/>
    <w:basedOn w:val="730"/>
    <w:next w:val="745"/>
    <w:link w:val="730"/>
    <w:uiPriority w:val="99"/>
    <w:unhideWhenUsed/>
    <w:qFormat/>
    <w:pPr>
      <w:jc w:val="left"/>
    </w:pPr>
  </w:style>
  <w:style w:type="paragraph" w:styleId="746">
    <w:name w:val="正文文本缩进"/>
    <w:basedOn w:val="730"/>
    <w:next w:val="747"/>
    <w:link w:val="730"/>
    <w:uiPriority w:val="99"/>
    <w:qFormat/>
    <w:pPr>
      <w:ind w:firstLine="576"/>
    </w:pPr>
    <w:rPr>
      <w:rFonts w:ascii="Times New Roman" w:hAnsi="Times New Roman" w:eastAsia="宋体"/>
      <w:b/>
      <w:sz w:val="30"/>
      <w:szCs w:val="20"/>
    </w:rPr>
  </w:style>
  <w:style w:type="paragraph" w:styleId="747">
    <w:name w:val="寄信人地址"/>
    <w:basedOn w:val="730"/>
    <w:next w:val="747"/>
    <w:link w:val="730"/>
    <w:uiPriority w:val="99"/>
    <w:unhideWhenUsed/>
    <w:qFormat/>
    <w:rPr>
      <w:rFonts w:ascii="Arial" w:hAnsi="Arial"/>
    </w:rPr>
  </w:style>
  <w:style w:type="paragraph" w:styleId="748">
    <w:name w:val="目录 5"/>
    <w:basedOn w:val="730"/>
    <w:next w:val="730"/>
    <w:link w:val="730"/>
    <w:uiPriority w:val="39"/>
    <w:unhideWhenUsed/>
    <w:qFormat/>
    <w:pPr>
      <w:ind w:left="1134"/>
      <w:spacing w:after="57"/>
    </w:pPr>
  </w:style>
  <w:style w:type="paragraph" w:styleId="749">
    <w:name w:val="目录 3"/>
    <w:basedOn w:val="730"/>
    <w:next w:val="730"/>
    <w:link w:val="730"/>
    <w:uiPriority w:val="39"/>
    <w:unhideWhenUsed/>
    <w:qFormat/>
    <w:pPr>
      <w:ind w:left="567"/>
      <w:spacing w:after="57"/>
    </w:pPr>
  </w:style>
  <w:style w:type="paragraph" w:styleId="750">
    <w:name w:val="目录 8"/>
    <w:basedOn w:val="730"/>
    <w:next w:val="730"/>
    <w:link w:val="730"/>
    <w:uiPriority w:val="39"/>
    <w:unhideWhenUsed/>
    <w:qFormat/>
    <w:pPr>
      <w:ind w:left="1984"/>
      <w:spacing w:after="57"/>
    </w:pPr>
  </w:style>
  <w:style w:type="paragraph" w:styleId="751">
    <w:name w:val="尾注文本"/>
    <w:basedOn w:val="730"/>
    <w:next w:val="751"/>
    <w:link w:val="730"/>
    <w:uiPriority w:val="99"/>
    <w:unhideWhenUsed/>
    <w:qFormat/>
    <w:rPr>
      <w:sz w:val="20"/>
    </w:rPr>
  </w:style>
  <w:style w:type="paragraph" w:styleId="752">
    <w:name w:val="批注框文本"/>
    <w:basedOn w:val="730"/>
    <w:next w:val="752"/>
    <w:link w:val="753"/>
    <w:uiPriority w:val="99"/>
    <w:unhideWhenUsed/>
    <w:qFormat/>
    <w:rPr>
      <w:sz w:val="18"/>
      <w:szCs w:val="18"/>
    </w:rPr>
  </w:style>
  <w:style w:type="character" w:styleId="753">
    <w:name w:val="批注框文本 Char2"/>
    <w:basedOn w:val="740"/>
    <w:next w:val="753"/>
    <w:link w:val="752"/>
    <w:uiPriority w:val="99"/>
    <w:semiHidden/>
    <w:qFormat/>
    <w:rPr>
      <w:rFonts w:ascii="Calibri" w:hAnsi="Calibri" w:eastAsia="Arial"/>
      <w:sz w:val="18"/>
      <w:szCs w:val="18"/>
    </w:rPr>
  </w:style>
  <w:style w:type="paragraph" w:styleId="754">
    <w:name w:val="页脚"/>
    <w:basedOn w:val="730"/>
    <w:next w:val="754"/>
    <w:link w:val="730"/>
    <w:uiPriority w:val="99"/>
    <w:unhideWhenUsed/>
    <w:qFormat/>
    <w:pPr>
      <w:tabs>
        <w:tab w:val="center" w:pos="7143" w:leader="none"/>
        <w:tab w:val="right" w:pos="14287" w:leader="none"/>
      </w:tabs>
    </w:pPr>
  </w:style>
  <w:style w:type="paragraph" w:styleId="755">
    <w:name w:val="页眉"/>
    <w:basedOn w:val="730"/>
    <w:next w:val="755"/>
    <w:link w:val="730"/>
    <w:uiPriority w:val="99"/>
    <w:unhideWhenUsed/>
    <w:qFormat/>
    <w:pPr>
      <w:tabs>
        <w:tab w:val="center" w:pos="7143" w:leader="none"/>
        <w:tab w:val="right" w:pos="14287" w:leader="none"/>
      </w:tabs>
    </w:pPr>
  </w:style>
  <w:style w:type="paragraph" w:styleId="756">
    <w:name w:val="目录 1"/>
    <w:basedOn w:val="730"/>
    <w:next w:val="730"/>
    <w:link w:val="730"/>
    <w:uiPriority w:val="39"/>
    <w:unhideWhenUsed/>
    <w:qFormat/>
    <w:pPr>
      <w:spacing w:after="57"/>
    </w:pPr>
  </w:style>
  <w:style w:type="paragraph" w:styleId="757">
    <w:name w:val="目录 4"/>
    <w:basedOn w:val="730"/>
    <w:next w:val="730"/>
    <w:link w:val="730"/>
    <w:uiPriority w:val="39"/>
    <w:unhideWhenUsed/>
    <w:qFormat/>
    <w:pPr>
      <w:ind w:left="850"/>
      <w:spacing w:after="57"/>
    </w:pPr>
  </w:style>
  <w:style w:type="paragraph" w:styleId="758">
    <w:name w:val="副标题"/>
    <w:basedOn w:val="730"/>
    <w:next w:val="730"/>
    <w:link w:val="730"/>
    <w:uiPriority w:val="11"/>
    <w:qFormat/>
    <w:pPr>
      <w:spacing w:before="200" w:after="200"/>
    </w:pPr>
    <w:rPr>
      <w:sz w:val="24"/>
      <w:szCs w:val="24"/>
    </w:rPr>
  </w:style>
  <w:style w:type="paragraph" w:styleId="759">
    <w:name w:val="列表"/>
    <w:basedOn w:val="730"/>
    <w:next w:val="759"/>
    <w:link w:val="730"/>
    <w:qFormat/>
    <w:pPr>
      <w:ind w:left="360" w:hanging="360"/>
      <w:spacing w:after="20" w:line="288" w:lineRule="auto"/>
      <w:tabs>
        <w:tab w:val="left" w:pos="360" w:leader="none"/>
      </w:tabs>
    </w:pPr>
    <w:rPr>
      <w:szCs w:val="20"/>
      <w:lang w:val="en-GB"/>
    </w:rPr>
  </w:style>
  <w:style w:type="paragraph" w:styleId="760">
    <w:name w:val="脚注文本"/>
    <w:basedOn w:val="730"/>
    <w:next w:val="760"/>
    <w:link w:val="730"/>
    <w:uiPriority w:val="99"/>
    <w:unhideWhenUsed/>
    <w:qFormat/>
    <w:pPr>
      <w:spacing w:after="40"/>
    </w:pPr>
    <w:rPr>
      <w:sz w:val="18"/>
    </w:rPr>
  </w:style>
  <w:style w:type="paragraph" w:styleId="761">
    <w:name w:val="目录 6"/>
    <w:basedOn w:val="730"/>
    <w:next w:val="730"/>
    <w:link w:val="730"/>
    <w:uiPriority w:val="39"/>
    <w:unhideWhenUsed/>
    <w:qFormat/>
    <w:pPr>
      <w:ind w:left="1417"/>
      <w:spacing w:after="57"/>
    </w:pPr>
  </w:style>
  <w:style w:type="paragraph" w:styleId="762">
    <w:name w:val="图表目录"/>
    <w:basedOn w:val="730"/>
    <w:next w:val="730"/>
    <w:link w:val="730"/>
    <w:uiPriority w:val="99"/>
    <w:unhideWhenUsed/>
    <w:qFormat/>
  </w:style>
  <w:style w:type="paragraph" w:styleId="763">
    <w:name w:val="目录 2"/>
    <w:basedOn w:val="730"/>
    <w:next w:val="730"/>
    <w:link w:val="730"/>
    <w:uiPriority w:val="39"/>
    <w:unhideWhenUsed/>
    <w:qFormat/>
    <w:pPr>
      <w:ind w:left="283"/>
      <w:spacing w:after="57"/>
    </w:pPr>
  </w:style>
  <w:style w:type="paragraph" w:styleId="764">
    <w:name w:val="目录 9"/>
    <w:basedOn w:val="730"/>
    <w:next w:val="730"/>
    <w:link w:val="730"/>
    <w:uiPriority w:val="39"/>
    <w:unhideWhenUsed/>
    <w:qFormat/>
    <w:pPr>
      <w:ind w:left="2268"/>
      <w:spacing w:after="57"/>
    </w:pPr>
  </w:style>
  <w:style w:type="paragraph" w:styleId="765">
    <w:name w:val="普通(网站)"/>
    <w:basedOn w:val="730"/>
    <w:next w:val="765"/>
    <w:link w:val="730"/>
    <w:qFormat/>
    <w:pPr>
      <w:ind w:firstLine="420"/>
      <w:jc w:val="left"/>
      <w:spacing w:before="100" w:beforeAutospacing="1" w:after="100" w:afterAutospacing="1" w:line="288" w:lineRule="auto"/>
      <w:widowControl/>
    </w:pPr>
    <w:rPr>
      <w:rFonts w:ascii="宋体" w:hAnsi="宋体"/>
      <w:sz w:val="24"/>
    </w:rPr>
  </w:style>
  <w:style w:type="paragraph" w:styleId="766">
    <w:name w:val="标题"/>
    <w:basedOn w:val="730"/>
    <w:next w:val="730"/>
    <w:link w:val="730"/>
    <w:uiPriority w:val="10"/>
    <w:qFormat/>
    <w:pPr>
      <w:contextualSpacing/>
      <w:spacing w:before="300" w:after="200"/>
    </w:pPr>
    <w:rPr>
      <w:sz w:val="48"/>
      <w:szCs w:val="48"/>
    </w:rPr>
  </w:style>
  <w:style w:type="paragraph" w:styleId="767">
    <w:name w:val="正文首行缩进"/>
    <w:basedOn w:val="742"/>
    <w:next w:val="767"/>
    <w:link w:val="730"/>
    <w:uiPriority w:val="99"/>
    <w:unhideWhenUsed/>
    <w:qFormat/>
    <w:pPr>
      <w:ind w:firstLine="420"/>
      <w:spacing w:after="120"/>
    </w:pPr>
    <w:rPr>
      <w:rFonts w:ascii="Calibri" w:hAnsi="Calibri" w:eastAsia="宋体"/>
      <w:sz w:val="21"/>
      <w:szCs w:val="22"/>
    </w:rPr>
  </w:style>
  <w:style w:type="paragraph" w:styleId="768">
    <w:name w:val="正文首行缩进 2"/>
    <w:basedOn w:val="746"/>
    <w:next w:val="730"/>
    <w:link w:val="730"/>
    <w:uiPriority w:val="99"/>
    <w:unhideWhenUsed/>
    <w:qFormat/>
    <w:pPr>
      <w:ind w:left="420" w:firstLine="420"/>
      <w:spacing w:after="120"/>
    </w:pPr>
    <w:rPr>
      <w:rFonts w:ascii="Arial" w:hAnsi="Arial" w:eastAsia="宋体" w:cs="Times New Roman"/>
      <w:b w:val="0"/>
      <w:sz w:val="21"/>
      <w:szCs w:val="22"/>
    </w:rPr>
  </w:style>
  <w:style w:type="table" w:styleId="769">
    <w:name w:val="网格型"/>
    <w:next w:val="769"/>
    <w:link w:val="730"/>
    <w:uiPriority w:val="59"/>
    <w:qFormat/>
    <w:tblPr/>
  </w:style>
  <w:style w:type="character" w:styleId="770">
    <w:name w:val="要点"/>
    <w:basedOn w:val="740"/>
    <w:next w:val="770"/>
    <w:link w:val="730"/>
    <w:uiPriority w:val="22"/>
    <w:qFormat/>
    <w:rPr>
      <w:b/>
    </w:rPr>
  </w:style>
  <w:style w:type="character" w:styleId="771">
    <w:name w:val="尾注引用"/>
    <w:next w:val="771"/>
    <w:link w:val="730"/>
    <w:uiPriority w:val="99"/>
    <w:unhideWhenUsed/>
    <w:qFormat/>
    <w:rPr>
      <w:vertAlign w:val="superscript"/>
    </w:rPr>
  </w:style>
  <w:style w:type="character" w:styleId="772">
    <w:name w:val="强调"/>
    <w:next w:val="772"/>
    <w:link w:val="730"/>
    <w:qFormat/>
    <w:rPr>
      <w:rFonts w:ascii="Times New Roman" w:hAnsi="Times New Roman" w:eastAsia="宋体" w:cs="Times New Roman"/>
      <w:i/>
    </w:rPr>
  </w:style>
  <w:style w:type="character" w:styleId="773">
    <w:name w:val="超链接"/>
    <w:basedOn w:val="740"/>
    <w:next w:val="773"/>
    <w:link w:val="730"/>
    <w:uiPriority w:val="99"/>
    <w:unhideWhenUsed/>
    <w:qFormat/>
    <w:rPr>
      <w:color w:val="0000ff"/>
      <w:u w:val="single"/>
    </w:rPr>
  </w:style>
  <w:style w:type="character" w:styleId="774">
    <w:name w:val="批注引用"/>
    <w:basedOn w:val="740"/>
    <w:next w:val="774"/>
    <w:link w:val="730"/>
    <w:uiPriority w:val="99"/>
    <w:unhideWhenUsed/>
    <w:qFormat/>
    <w:rPr>
      <w:sz w:val="21"/>
      <w:szCs w:val="21"/>
    </w:rPr>
  </w:style>
  <w:style w:type="character" w:styleId="775">
    <w:name w:val="脚注引用"/>
    <w:next w:val="775"/>
    <w:link w:val="730"/>
    <w:uiPriority w:val="99"/>
    <w:unhideWhenUsed/>
    <w:qFormat/>
    <w:rPr>
      <w:vertAlign w:val="superscript"/>
    </w:rPr>
  </w:style>
  <w:style w:type="paragraph" w:styleId="776">
    <w:name w:val="标题 111"/>
    <w:basedOn w:val="730"/>
    <w:next w:val="730"/>
    <w:link w:val="777"/>
    <w:uiPriority w:val="9"/>
    <w:qFormat/>
    <w:pPr>
      <w:jc w:val="center"/>
      <w:keepNext/>
      <w:outlineLvl w:val="0"/>
    </w:pPr>
    <w:rPr>
      <w:rFonts w:ascii="楷体_GB2312" w:hAnsi="Times New Roman" w:eastAsia="楷体_GB2312"/>
      <w:b/>
      <w:sz w:val="28"/>
      <w:szCs w:val="20"/>
    </w:rPr>
  </w:style>
  <w:style w:type="character" w:styleId="777">
    <w:name w:val="标题 1 Char1"/>
    <w:basedOn w:val="778"/>
    <w:next w:val="777"/>
    <w:link w:val="776"/>
    <w:uiPriority w:val="9"/>
    <w:qFormat/>
    <w:rPr>
      <w:rFonts w:ascii="楷体_GB2312" w:hAnsi="Times New Roman" w:eastAsia="楷体_GB2312" w:cs="Times New Roman"/>
      <w:b/>
      <w:sz w:val="28"/>
      <w:szCs w:val="20"/>
    </w:rPr>
  </w:style>
  <w:style w:type="character" w:styleId="778">
    <w:name w:val="默认段落字体11"/>
    <w:next w:val="778"/>
    <w:link w:val="730"/>
    <w:uiPriority w:val="1"/>
    <w:unhideWhenUsed/>
    <w:qFormat/>
  </w:style>
  <w:style w:type="paragraph" w:styleId="779">
    <w:name w:val="标题 211"/>
    <w:basedOn w:val="730"/>
    <w:next w:val="730"/>
    <w:link w:val="780"/>
    <w:uiPriority w:val="9"/>
    <w:qFormat/>
    <w:pPr>
      <w:jc w:val="center"/>
      <w:keepNext/>
      <w:outlineLvl w:val="1"/>
    </w:pPr>
    <w:rPr>
      <w:rFonts w:ascii="楷体_GB2312" w:hAnsi="Times New Roman" w:eastAsia="楷体_GB2312"/>
      <w:b/>
      <w:bCs/>
      <w:sz w:val="18"/>
      <w:szCs w:val="20"/>
    </w:rPr>
  </w:style>
  <w:style w:type="character" w:styleId="780">
    <w:name w:val="标题 2 Char1"/>
    <w:basedOn w:val="778"/>
    <w:next w:val="780"/>
    <w:link w:val="779"/>
    <w:uiPriority w:val="9"/>
    <w:qFormat/>
    <w:rPr>
      <w:rFonts w:ascii="楷体_GB2312" w:hAnsi="Times New Roman" w:eastAsia="楷体_GB2312" w:cs="Times New Roman"/>
      <w:b/>
      <w:bCs/>
      <w:sz w:val="18"/>
      <w:szCs w:val="20"/>
    </w:rPr>
  </w:style>
  <w:style w:type="paragraph" w:styleId="781">
    <w:name w:val="标题 311"/>
    <w:basedOn w:val="782"/>
    <w:next w:val="730"/>
    <w:link w:val="785"/>
    <w:uiPriority w:val="9"/>
    <w:qFormat/>
    <w:pPr>
      <w:jc w:val="left"/>
      <w:keepNext/>
    </w:pPr>
    <w:rPr>
      <w:rFonts w:ascii="Arial" w:hAnsi="Arial" w:eastAsia="Arial"/>
      <w:bCs/>
      <w:sz w:val="24"/>
      <w:szCs w:val="24"/>
      <w:lang w:eastAsia="zh-CN"/>
    </w:rPr>
  </w:style>
  <w:style w:type="paragraph" w:styleId="782">
    <w:name w:val="Cn Heading3"/>
    <w:basedOn w:val="783"/>
    <w:next w:val="782"/>
    <w:link w:val="730"/>
    <w:qFormat/>
    <w:pPr>
      <w:ind w:firstLine="0"/>
      <w:spacing w:line="480" w:lineRule="auto"/>
      <w:outlineLvl w:val="2"/>
    </w:pPr>
    <w:rPr>
      <w:rFonts w:ascii="微软雅黑" w:hAnsi="微软雅黑" w:eastAsia="微软雅黑"/>
      <w:b/>
      <w:sz w:val="28"/>
      <w:szCs w:val="28"/>
      <w:lang w:eastAsia="ja-JP"/>
    </w:rPr>
  </w:style>
  <w:style w:type="paragraph" w:styleId="783">
    <w:name w:val="列出段落1"/>
    <w:basedOn w:val="730"/>
    <w:next w:val="783"/>
    <w:link w:val="784"/>
    <w:qFormat/>
    <w:pPr>
      <w:ind w:firstLine="420"/>
      <w:spacing w:before="120" w:after="120" w:line="360" w:lineRule="auto"/>
    </w:pPr>
    <w:rPr>
      <w:rFonts w:eastAsia="宋体"/>
      <w:sz w:val="24"/>
    </w:rPr>
  </w:style>
  <w:style w:type="character" w:styleId="784">
    <w:name w:val="列出段落 Char"/>
    <w:next w:val="784"/>
    <w:link w:val="783"/>
    <w:qFormat/>
    <w:rPr>
      <w:rFonts w:ascii="Calibri" w:hAnsi="Calibri" w:eastAsia="宋体" w:cs="Times New Roman"/>
      <w:sz w:val="24"/>
      <w:szCs w:val="22"/>
    </w:rPr>
  </w:style>
  <w:style w:type="character" w:styleId="785">
    <w:name w:val="标题 3 Char1"/>
    <w:basedOn w:val="778"/>
    <w:next w:val="785"/>
    <w:link w:val="781"/>
    <w:uiPriority w:val="9"/>
    <w:qFormat/>
    <w:rPr>
      <w:rFonts w:ascii="Arial" w:hAnsi="Arial"/>
      <w:b/>
      <w:bCs/>
      <w:sz w:val="24"/>
      <w:szCs w:val="24"/>
    </w:rPr>
  </w:style>
  <w:style w:type="paragraph" w:styleId="786">
    <w:name w:val="标题 411"/>
    <w:basedOn w:val="730"/>
    <w:next w:val="730"/>
    <w:link w:val="787"/>
    <w:uiPriority w:val="9"/>
    <w:qFormat/>
    <w:pPr>
      <w:keepNext/>
      <w:outlineLvl w:val="3"/>
    </w:pPr>
    <w:rPr>
      <w:rFonts w:ascii="Times New Roman" w:hAnsi="Times New Roman" w:eastAsia="楷体_GB2312"/>
      <w:b/>
      <w:bCs/>
      <w:sz w:val="15"/>
      <w:szCs w:val="20"/>
    </w:rPr>
  </w:style>
  <w:style w:type="character" w:styleId="787">
    <w:name w:val="标题 4 Char1"/>
    <w:basedOn w:val="778"/>
    <w:next w:val="787"/>
    <w:link w:val="786"/>
    <w:uiPriority w:val="9"/>
    <w:qFormat/>
    <w:rPr>
      <w:rFonts w:ascii="Times New Roman" w:hAnsi="Times New Roman" w:eastAsia="楷体_GB2312" w:cs="Times New Roman"/>
      <w:b/>
      <w:bCs/>
      <w:sz w:val="15"/>
    </w:rPr>
  </w:style>
  <w:style w:type="paragraph" w:styleId="788">
    <w:name w:val="标题 511"/>
    <w:basedOn w:val="730"/>
    <w:next w:val="730"/>
    <w:link w:val="789"/>
    <w:uiPriority w:val="9"/>
    <w:qFormat/>
    <w:pPr>
      <w:numPr>
        <w:ilvl w:val="0"/>
        <w:numId w:val="1"/>
      </w:numPr>
      <w:keepNext/>
      <w:tabs>
        <w:tab w:val="left" w:pos="360" w:leader="none"/>
      </w:tabs>
      <w:outlineLvl w:val="4"/>
    </w:pPr>
    <w:rPr>
      <w:rFonts w:ascii="楷体_GB2312" w:hAnsi="Times New Roman" w:eastAsia="楷体_GB2312"/>
      <w:bCs/>
      <w:sz w:val="28"/>
      <w:szCs w:val="20"/>
    </w:rPr>
  </w:style>
  <w:style w:type="character" w:styleId="789">
    <w:name w:val="标题 5 Char1"/>
    <w:basedOn w:val="778"/>
    <w:next w:val="789"/>
    <w:link w:val="788"/>
    <w:uiPriority w:val="9"/>
    <w:qFormat/>
    <w:rPr>
      <w:rFonts w:ascii="楷体_GB2312" w:hAnsi="Times New Roman" w:eastAsia="楷体_GB2312" w:cs="Times New Roman"/>
      <w:bCs/>
      <w:sz w:val="28"/>
    </w:rPr>
  </w:style>
  <w:style w:type="paragraph" w:styleId="790">
    <w:name w:val="标题 611"/>
    <w:basedOn w:val="730"/>
    <w:next w:val="730"/>
    <w:link w:val="791"/>
    <w:uiPriority w:val="9"/>
    <w:qFormat/>
    <w:pPr>
      <w:keepLines/>
      <w:keepNext/>
      <w:spacing w:before="320" w:after="200"/>
      <w:outlineLvl w:val="5"/>
    </w:pPr>
    <w:rPr>
      <w:rFonts w:ascii="Arial" w:hAnsi="Arial" w:cs="Arial"/>
      <w:b/>
      <w:bCs/>
      <w:sz w:val="22"/>
    </w:rPr>
  </w:style>
  <w:style w:type="character" w:styleId="791">
    <w:name w:val="标题 6 Char1"/>
    <w:basedOn w:val="778"/>
    <w:next w:val="791"/>
    <w:link w:val="790"/>
    <w:uiPriority w:val="9"/>
    <w:qFormat/>
    <w:rPr>
      <w:rFonts w:ascii="Arial" w:hAnsi="Arial" w:eastAsia="Arial" w:cs="Arial"/>
      <w:b/>
      <w:bCs/>
      <w:sz w:val="22"/>
      <w:szCs w:val="22"/>
    </w:rPr>
  </w:style>
  <w:style w:type="paragraph" w:styleId="792">
    <w:name w:val="标题 711"/>
    <w:basedOn w:val="730"/>
    <w:next w:val="730"/>
    <w:link w:val="793"/>
    <w:uiPriority w:val="9"/>
    <w:qFormat/>
    <w:pPr>
      <w:keepLines/>
      <w:keepNext/>
      <w:spacing w:before="320" w:after="200"/>
      <w:outlineLvl w:val="6"/>
    </w:pPr>
    <w:rPr>
      <w:rFonts w:ascii="Arial" w:hAnsi="Arial" w:cs="Arial"/>
      <w:b/>
      <w:bCs/>
      <w:i/>
      <w:iCs/>
      <w:sz w:val="22"/>
    </w:rPr>
  </w:style>
  <w:style w:type="character" w:styleId="793">
    <w:name w:val="标题 7 Char1"/>
    <w:basedOn w:val="778"/>
    <w:next w:val="793"/>
    <w:link w:val="792"/>
    <w:uiPriority w:val="9"/>
    <w:qFormat/>
    <w:rPr>
      <w:rFonts w:ascii="Arial" w:hAnsi="Arial" w:eastAsia="Arial" w:cs="Arial"/>
      <w:b/>
      <w:bCs/>
      <w:i/>
      <w:iCs/>
      <w:sz w:val="22"/>
      <w:szCs w:val="22"/>
    </w:rPr>
  </w:style>
  <w:style w:type="paragraph" w:styleId="794">
    <w:name w:val="标题 811"/>
    <w:basedOn w:val="730"/>
    <w:next w:val="730"/>
    <w:link w:val="795"/>
    <w:uiPriority w:val="9"/>
    <w:qFormat/>
    <w:pPr>
      <w:keepLines/>
      <w:keepNext/>
      <w:spacing w:before="320" w:after="200"/>
      <w:outlineLvl w:val="7"/>
    </w:pPr>
    <w:rPr>
      <w:rFonts w:ascii="Arial" w:hAnsi="Arial" w:cs="Arial"/>
      <w:i/>
      <w:iCs/>
      <w:sz w:val="22"/>
    </w:rPr>
  </w:style>
  <w:style w:type="character" w:styleId="795">
    <w:name w:val="标题 8 Char1"/>
    <w:basedOn w:val="778"/>
    <w:next w:val="795"/>
    <w:link w:val="794"/>
    <w:uiPriority w:val="9"/>
    <w:qFormat/>
    <w:rPr>
      <w:rFonts w:ascii="Arial" w:hAnsi="Arial" w:eastAsia="Arial" w:cs="Arial"/>
      <w:i/>
      <w:iCs/>
      <w:sz w:val="22"/>
      <w:szCs w:val="22"/>
    </w:rPr>
  </w:style>
  <w:style w:type="paragraph" w:styleId="796">
    <w:name w:val="标题 911"/>
    <w:basedOn w:val="730"/>
    <w:next w:val="730"/>
    <w:link w:val="797"/>
    <w:uiPriority w:val="9"/>
    <w:qFormat/>
    <w:pPr>
      <w:keepLines/>
      <w:keepNext/>
      <w:spacing w:before="320" w:after="200"/>
      <w:outlineLvl w:val="8"/>
    </w:pPr>
    <w:rPr>
      <w:rFonts w:ascii="Arial" w:hAnsi="Arial" w:cs="Arial"/>
      <w:i/>
      <w:iCs/>
      <w:szCs w:val="21"/>
    </w:rPr>
  </w:style>
  <w:style w:type="character" w:styleId="797">
    <w:name w:val="标题 9 Char1"/>
    <w:basedOn w:val="778"/>
    <w:next w:val="797"/>
    <w:link w:val="796"/>
    <w:uiPriority w:val="9"/>
    <w:qFormat/>
    <w:rPr>
      <w:rFonts w:ascii="Arial" w:hAnsi="Arial" w:eastAsia="Arial" w:cs="Arial"/>
      <w:i/>
      <w:iCs/>
      <w:sz w:val="21"/>
      <w:szCs w:val="21"/>
    </w:rPr>
  </w:style>
  <w:style w:type="table" w:styleId="798">
    <w:name w:val="普通表格11"/>
    <w:next w:val="798"/>
    <w:link w:val="730"/>
    <w:uiPriority w:val="99"/>
    <w:unhideWhenUsed/>
    <w:qFormat/>
    <w:tblPr/>
  </w:style>
  <w:style w:type="paragraph" w:styleId="799">
    <w:name w:val="目录 7111"/>
    <w:basedOn w:val="730"/>
    <w:next w:val="730"/>
    <w:link w:val="730"/>
    <w:uiPriority w:val="39"/>
    <w:unhideWhenUsed/>
    <w:qFormat/>
    <w:pPr>
      <w:ind w:left="1701"/>
      <w:spacing w:after="57"/>
    </w:pPr>
    <w:rPr>
      <w:rFonts w:ascii="Times New Roman" w:hAnsi="Times New Roman" w:eastAsia="宋体"/>
      <w:szCs w:val="21"/>
    </w:rPr>
  </w:style>
  <w:style w:type="paragraph" w:styleId="800">
    <w:name w:val="正文缩进11"/>
    <w:basedOn w:val="730"/>
    <w:next w:val="800"/>
    <w:link w:val="730"/>
    <w:uiPriority w:val="99"/>
    <w:qFormat/>
    <w:pPr>
      <w:ind w:firstLine="420"/>
    </w:pPr>
    <w:rPr>
      <w:rFonts w:ascii="Times New Roman" w:hAnsi="Times New Roman" w:eastAsia="宋体"/>
      <w:szCs w:val="20"/>
    </w:rPr>
  </w:style>
  <w:style w:type="paragraph" w:styleId="801">
    <w:name w:val="题注1"/>
    <w:basedOn w:val="730"/>
    <w:next w:val="730"/>
    <w:link w:val="730"/>
    <w:uiPriority w:val="35"/>
    <w:qFormat/>
    <w:pPr>
      <w:spacing w:line="276" w:lineRule="auto"/>
    </w:pPr>
    <w:rPr>
      <w:rFonts w:ascii="Times New Roman" w:hAnsi="Times New Roman" w:eastAsia="宋体"/>
      <w:b/>
      <w:bCs/>
      <w:color w:val="4f81bd"/>
      <w:sz w:val="18"/>
      <w:szCs w:val="18"/>
    </w:rPr>
  </w:style>
  <w:style w:type="paragraph" w:styleId="802">
    <w:name w:val="文档结构图11"/>
    <w:basedOn w:val="730"/>
    <w:next w:val="802"/>
    <w:link w:val="803"/>
    <w:uiPriority w:val="99"/>
    <w:semiHidden/>
    <w:qFormat/>
    <w:pPr>
      <w:shd w:val="clear" w:color="auto" w:fill="000080"/>
    </w:pPr>
    <w:rPr>
      <w:rFonts w:ascii="Times New Roman" w:hAnsi="Times New Roman" w:eastAsia="宋体"/>
      <w:sz w:val="20"/>
      <w:szCs w:val="20"/>
    </w:rPr>
  </w:style>
  <w:style w:type="character" w:styleId="803">
    <w:name w:val="文档结构图 Char1"/>
    <w:basedOn w:val="778"/>
    <w:next w:val="803"/>
    <w:link w:val="802"/>
    <w:uiPriority w:val="99"/>
    <w:semiHidden/>
    <w:qFormat/>
    <w:rPr>
      <w:rFonts w:ascii="Times New Roman" w:hAnsi="Times New Roman" w:eastAsia="宋体" w:cs="Times New Roman"/>
      <w:sz w:val="20"/>
      <w:szCs w:val="20"/>
      <w:shd w:val="clear" w:color="auto" w:fill="000080"/>
    </w:rPr>
  </w:style>
  <w:style w:type="paragraph" w:styleId="804">
    <w:name w:val="批注文字11"/>
    <w:basedOn w:val="730"/>
    <w:next w:val="804"/>
    <w:link w:val="805"/>
    <w:uiPriority w:val="99"/>
    <w:unhideWhenUsed/>
    <w:qFormat/>
    <w:pPr>
      <w:jc w:val="left"/>
    </w:pPr>
  </w:style>
  <w:style w:type="character" w:styleId="805">
    <w:name w:val="批注文字 Char1"/>
    <w:basedOn w:val="778"/>
    <w:next w:val="805"/>
    <w:link w:val="804"/>
    <w:uiPriority w:val="99"/>
    <w:semiHidden/>
    <w:qFormat/>
  </w:style>
  <w:style w:type="paragraph" w:styleId="806">
    <w:name w:val="正文文本11"/>
    <w:basedOn w:val="730"/>
    <w:next w:val="806"/>
    <w:link w:val="807"/>
    <w:uiPriority w:val="99"/>
    <w:qFormat/>
    <w:rPr>
      <w:rFonts w:ascii="华文中宋" w:hAnsi="Times New Roman" w:eastAsia="华文中宋"/>
      <w:bCs/>
      <w:sz w:val="28"/>
      <w:szCs w:val="20"/>
    </w:rPr>
  </w:style>
  <w:style w:type="character" w:styleId="807">
    <w:name w:val="正文文本 Char1"/>
    <w:basedOn w:val="778"/>
    <w:next w:val="807"/>
    <w:link w:val="806"/>
    <w:uiPriority w:val="99"/>
    <w:qFormat/>
    <w:rPr>
      <w:rFonts w:ascii="华文中宋" w:hAnsi="Times New Roman" w:eastAsia="华文中宋" w:cs="Times New Roman"/>
      <w:bCs/>
      <w:sz w:val="28"/>
      <w:szCs w:val="20"/>
    </w:rPr>
  </w:style>
  <w:style w:type="paragraph" w:styleId="808">
    <w:name w:val="正文文本缩进11"/>
    <w:basedOn w:val="730"/>
    <w:next w:val="808"/>
    <w:link w:val="809"/>
    <w:uiPriority w:val="99"/>
    <w:qFormat/>
    <w:pPr>
      <w:ind w:firstLine="576"/>
    </w:pPr>
    <w:rPr>
      <w:rFonts w:ascii="Times New Roman" w:hAnsi="Times New Roman" w:eastAsia="宋体"/>
      <w:b/>
      <w:sz w:val="30"/>
      <w:szCs w:val="20"/>
    </w:rPr>
  </w:style>
  <w:style w:type="character" w:styleId="809">
    <w:name w:val="正文文本缩进 Char1"/>
    <w:basedOn w:val="778"/>
    <w:next w:val="809"/>
    <w:link w:val="808"/>
    <w:uiPriority w:val="99"/>
    <w:qFormat/>
    <w:rPr>
      <w:rFonts w:ascii="Times New Roman" w:hAnsi="Times New Roman" w:eastAsia="宋体" w:cs="Times New Roman"/>
      <w:b/>
      <w:sz w:val="30"/>
      <w:szCs w:val="20"/>
    </w:rPr>
  </w:style>
  <w:style w:type="paragraph" w:styleId="810">
    <w:name w:val="索引 41"/>
    <w:basedOn w:val="730"/>
    <w:next w:val="730"/>
    <w:link w:val="730"/>
    <w:uiPriority w:val="99"/>
    <w:qFormat/>
    <w:pPr>
      <w:ind w:left="600"/>
    </w:pPr>
    <w:rPr>
      <w:szCs w:val="24"/>
    </w:rPr>
  </w:style>
  <w:style w:type="paragraph" w:styleId="811">
    <w:name w:val="目录 5111"/>
    <w:basedOn w:val="730"/>
    <w:next w:val="730"/>
    <w:link w:val="730"/>
    <w:uiPriority w:val="39"/>
    <w:unhideWhenUsed/>
    <w:qFormat/>
    <w:pPr>
      <w:ind w:left="1134"/>
      <w:spacing w:after="57"/>
    </w:pPr>
    <w:rPr>
      <w:rFonts w:ascii="Times New Roman" w:hAnsi="Times New Roman" w:eastAsia="宋体"/>
      <w:szCs w:val="21"/>
    </w:rPr>
  </w:style>
  <w:style w:type="paragraph" w:styleId="812">
    <w:name w:val="目录 3111"/>
    <w:basedOn w:val="730"/>
    <w:next w:val="730"/>
    <w:link w:val="730"/>
    <w:uiPriority w:val="39"/>
    <w:unhideWhenUsed/>
    <w:qFormat/>
    <w:pPr>
      <w:ind w:left="567"/>
      <w:spacing w:after="57"/>
    </w:pPr>
    <w:rPr>
      <w:rFonts w:ascii="Times New Roman" w:hAnsi="Times New Roman" w:eastAsia="宋体"/>
      <w:szCs w:val="21"/>
    </w:rPr>
  </w:style>
  <w:style w:type="paragraph" w:styleId="813">
    <w:name w:val="纯文本11"/>
    <w:basedOn w:val="730"/>
    <w:next w:val="813"/>
    <w:link w:val="730"/>
    <w:qFormat/>
    <w:rPr>
      <w:rFonts w:ascii="黑体"/>
      <w:szCs w:val="21"/>
    </w:rPr>
  </w:style>
  <w:style w:type="paragraph" w:styleId="814">
    <w:name w:val="目录 8111"/>
    <w:basedOn w:val="730"/>
    <w:next w:val="730"/>
    <w:link w:val="730"/>
    <w:uiPriority w:val="39"/>
    <w:unhideWhenUsed/>
    <w:qFormat/>
    <w:pPr>
      <w:ind w:left="1984"/>
      <w:spacing w:after="57"/>
    </w:pPr>
    <w:rPr>
      <w:rFonts w:ascii="Times New Roman" w:hAnsi="Times New Roman" w:eastAsia="宋体"/>
      <w:szCs w:val="21"/>
    </w:rPr>
  </w:style>
  <w:style w:type="paragraph" w:styleId="815">
    <w:name w:val="日期11"/>
    <w:basedOn w:val="730"/>
    <w:next w:val="730"/>
    <w:link w:val="816"/>
    <w:uiPriority w:val="99"/>
    <w:qFormat/>
    <w:rPr>
      <w:rFonts w:ascii="Times New Roman" w:hAnsi="Times New Roman" w:eastAsia="黑体"/>
      <w:b/>
      <w:sz w:val="36"/>
      <w:szCs w:val="20"/>
    </w:rPr>
  </w:style>
  <w:style w:type="character" w:styleId="816">
    <w:name w:val="日期 Char1"/>
    <w:basedOn w:val="778"/>
    <w:next w:val="816"/>
    <w:link w:val="815"/>
    <w:uiPriority w:val="99"/>
    <w:qFormat/>
    <w:rPr>
      <w:rFonts w:ascii="Times New Roman" w:hAnsi="Times New Roman" w:eastAsia="黑体" w:cs="Times New Roman"/>
      <w:b/>
      <w:sz w:val="36"/>
      <w:szCs w:val="20"/>
    </w:rPr>
  </w:style>
  <w:style w:type="paragraph" w:styleId="817">
    <w:name w:val="正文文本缩进 211"/>
    <w:basedOn w:val="730"/>
    <w:next w:val="817"/>
    <w:link w:val="818"/>
    <w:uiPriority w:val="99"/>
    <w:qFormat/>
    <w:pPr>
      <w:ind w:left="900"/>
    </w:pPr>
    <w:rPr>
      <w:rFonts w:ascii="楷体_GB2312" w:hAnsi="Times New Roman" w:eastAsia="楷体_GB2312"/>
      <w:b/>
      <w:sz w:val="28"/>
      <w:szCs w:val="20"/>
    </w:rPr>
  </w:style>
  <w:style w:type="character" w:styleId="818">
    <w:name w:val="正文文本缩进 2 Char1"/>
    <w:basedOn w:val="778"/>
    <w:next w:val="818"/>
    <w:link w:val="817"/>
    <w:uiPriority w:val="99"/>
    <w:qFormat/>
    <w:rPr>
      <w:rFonts w:ascii="楷体_GB2312" w:hAnsi="Times New Roman" w:eastAsia="楷体_GB2312" w:cs="Times New Roman"/>
      <w:b/>
      <w:sz w:val="28"/>
      <w:szCs w:val="20"/>
    </w:rPr>
  </w:style>
  <w:style w:type="paragraph" w:styleId="819">
    <w:name w:val="尾注文本1"/>
    <w:basedOn w:val="730"/>
    <w:next w:val="819"/>
    <w:link w:val="820"/>
    <w:uiPriority w:val="99"/>
    <w:unhideWhenUsed/>
    <w:qFormat/>
    <w:rPr>
      <w:rFonts w:ascii="Times New Roman" w:hAnsi="Times New Roman" w:eastAsia="宋体"/>
      <w:sz w:val="20"/>
      <w:szCs w:val="21"/>
    </w:rPr>
  </w:style>
  <w:style w:type="character" w:styleId="820">
    <w:name w:val="尾注文本 Char"/>
    <w:basedOn w:val="778"/>
    <w:next w:val="820"/>
    <w:link w:val="819"/>
    <w:uiPriority w:val="99"/>
    <w:qFormat/>
    <w:rPr>
      <w:rFonts w:ascii="Times New Roman" w:hAnsi="Times New Roman" w:eastAsia="宋体" w:cs="Times New Roman"/>
      <w:szCs w:val="21"/>
    </w:rPr>
  </w:style>
  <w:style w:type="paragraph" w:styleId="821">
    <w:name w:val="批注框文本11"/>
    <w:basedOn w:val="730"/>
    <w:next w:val="821"/>
    <w:link w:val="822"/>
    <w:uiPriority w:val="99"/>
    <w:unhideWhenUsed/>
    <w:qFormat/>
    <w:rPr>
      <w:rFonts w:ascii="Times New Roman" w:hAnsi="Times New Roman" w:eastAsia="宋体"/>
      <w:sz w:val="18"/>
      <w:szCs w:val="18"/>
    </w:rPr>
  </w:style>
  <w:style w:type="character" w:styleId="822">
    <w:name w:val="批注框文本 Char1"/>
    <w:basedOn w:val="778"/>
    <w:next w:val="822"/>
    <w:link w:val="821"/>
    <w:uiPriority w:val="99"/>
    <w:semiHidden/>
    <w:qFormat/>
    <w:rPr>
      <w:rFonts w:ascii="Times New Roman" w:hAnsi="Times New Roman" w:eastAsia="宋体" w:cs="Times New Roman"/>
      <w:sz w:val="18"/>
      <w:szCs w:val="18"/>
    </w:rPr>
  </w:style>
  <w:style w:type="paragraph" w:styleId="823">
    <w:name w:val="页脚11"/>
    <w:basedOn w:val="730"/>
    <w:next w:val="825"/>
    <w:link w:val="824"/>
    <w:uiPriority w:val="99"/>
    <w:qFormat/>
    <w:pPr>
      <w:jc w:val="left"/>
      <w:tabs>
        <w:tab w:val="center" w:pos="4153" w:leader="none"/>
        <w:tab w:val="right" w:pos="8306" w:leader="none"/>
      </w:tabs>
    </w:pPr>
    <w:rPr>
      <w:rFonts w:ascii="Times New Roman" w:hAnsi="Times New Roman" w:eastAsia="宋体"/>
      <w:sz w:val="18"/>
      <w:szCs w:val="20"/>
    </w:rPr>
  </w:style>
  <w:style w:type="character" w:styleId="824">
    <w:name w:val="页脚 Char1"/>
    <w:basedOn w:val="778"/>
    <w:next w:val="824"/>
    <w:link w:val="823"/>
    <w:uiPriority w:val="99"/>
    <w:qFormat/>
    <w:rPr>
      <w:rFonts w:ascii="Times New Roman" w:hAnsi="Times New Roman" w:eastAsia="宋体" w:cs="Times New Roman"/>
      <w:sz w:val="18"/>
      <w:szCs w:val="20"/>
    </w:rPr>
  </w:style>
  <w:style w:type="paragraph" w:styleId="825">
    <w:name w:val="明显引用1"/>
    <w:next w:val="730"/>
    <w:link w:val="730"/>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826">
    <w:name w:val="页眉11"/>
    <w:basedOn w:val="730"/>
    <w:next w:val="826"/>
    <w:link w:val="82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27">
    <w:name w:val="页眉 Char1"/>
    <w:basedOn w:val="778"/>
    <w:next w:val="827"/>
    <w:link w:val="826"/>
    <w:uiPriority w:val="99"/>
    <w:qFormat/>
    <w:rPr>
      <w:rFonts w:ascii="Times New Roman" w:hAnsi="Times New Roman" w:eastAsia="宋体" w:cs="Times New Roman"/>
      <w:sz w:val="18"/>
      <w:szCs w:val="20"/>
    </w:rPr>
  </w:style>
  <w:style w:type="paragraph" w:styleId="828">
    <w:name w:val="目录 1112"/>
    <w:basedOn w:val="730"/>
    <w:next w:val="730"/>
    <w:link w:val="730"/>
    <w:uiPriority w:val="39"/>
    <w:unhideWhenUsed/>
    <w:qFormat/>
    <w:pPr>
      <w:spacing w:after="57"/>
    </w:pPr>
    <w:rPr>
      <w:rFonts w:ascii="Times New Roman" w:hAnsi="Times New Roman" w:eastAsia="宋体"/>
      <w:szCs w:val="21"/>
    </w:rPr>
  </w:style>
  <w:style w:type="paragraph" w:styleId="829">
    <w:name w:val="目录 4111"/>
    <w:basedOn w:val="730"/>
    <w:next w:val="730"/>
    <w:link w:val="730"/>
    <w:uiPriority w:val="39"/>
    <w:unhideWhenUsed/>
    <w:qFormat/>
    <w:pPr>
      <w:ind w:left="850"/>
      <w:spacing w:after="57"/>
    </w:pPr>
    <w:rPr>
      <w:rFonts w:ascii="Times New Roman" w:hAnsi="Times New Roman" w:eastAsia="宋体"/>
      <w:szCs w:val="21"/>
    </w:rPr>
  </w:style>
  <w:style w:type="paragraph" w:styleId="830">
    <w:name w:val="副标题1"/>
    <w:basedOn w:val="730"/>
    <w:next w:val="730"/>
    <w:link w:val="831"/>
    <w:uiPriority w:val="11"/>
    <w:qFormat/>
    <w:pPr>
      <w:ind w:firstLine="471"/>
      <w:jc w:val="center"/>
      <w:spacing w:before="240" w:after="60" w:line="312" w:lineRule="atLeast"/>
      <w:outlineLvl w:val="1"/>
    </w:pPr>
    <w:rPr>
      <w:rFonts w:ascii="Arial" w:hAnsi="Arial"/>
      <w:b/>
      <w:bCs/>
      <w:sz w:val="32"/>
      <w:szCs w:val="32"/>
    </w:rPr>
  </w:style>
  <w:style w:type="character" w:styleId="831">
    <w:name w:val="副标题 Char"/>
    <w:next w:val="831"/>
    <w:link w:val="830"/>
    <w:uiPriority w:val="11"/>
    <w:qFormat/>
    <w:rPr>
      <w:rFonts w:ascii="Arial" w:hAnsi="Arial"/>
      <w:b/>
      <w:bCs/>
      <w:sz w:val="32"/>
      <w:szCs w:val="32"/>
    </w:rPr>
  </w:style>
  <w:style w:type="paragraph" w:styleId="832">
    <w:name w:val="列表11"/>
    <w:basedOn w:val="730"/>
    <w:next w:val="832"/>
    <w:link w:val="730"/>
    <w:qFormat/>
    <w:pPr>
      <w:ind w:firstLine="480"/>
      <w:spacing w:after="20" w:line="360" w:lineRule="auto"/>
      <w:tabs>
        <w:tab w:val="left" w:pos="420" w:leader="none"/>
      </w:tabs>
    </w:pPr>
    <w:rPr>
      <w:rFonts w:ascii="宋体" w:hAnsi="宋体" w:eastAsia="宋体" w:cs="宋体"/>
      <w:sz w:val="24"/>
      <w:szCs w:val="24"/>
    </w:rPr>
  </w:style>
  <w:style w:type="paragraph" w:styleId="833">
    <w:name w:val="脚注文本1"/>
    <w:basedOn w:val="730"/>
    <w:next w:val="833"/>
    <w:link w:val="834"/>
    <w:uiPriority w:val="99"/>
    <w:unhideWhenUsed/>
    <w:qFormat/>
    <w:pPr>
      <w:spacing w:after="40"/>
    </w:pPr>
    <w:rPr>
      <w:rFonts w:ascii="Times New Roman" w:hAnsi="Times New Roman" w:eastAsia="宋体"/>
      <w:sz w:val="18"/>
      <w:szCs w:val="21"/>
    </w:rPr>
  </w:style>
  <w:style w:type="character" w:styleId="834">
    <w:name w:val="脚注文本 Char"/>
    <w:basedOn w:val="778"/>
    <w:next w:val="834"/>
    <w:link w:val="833"/>
    <w:uiPriority w:val="99"/>
    <w:qFormat/>
    <w:rPr>
      <w:rFonts w:ascii="Times New Roman" w:hAnsi="Times New Roman" w:eastAsia="宋体" w:cs="Times New Roman"/>
      <w:sz w:val="18"/>
      <w:szCs w:val="21"/>
    </w:rPr>
  </w:style>
  <w:style w:type="paragraph" w:styleId="835">
    <w:name w:val="目录 6111"/>
    <w:basedOn w:val="730"/>
    <w:next w:val="730"/>
    <w:link w:val="730"/>
    <w:uiPriority w:val="39"/>
    <w:unhideWhenUsed/>
    <w:qFormat/>
    <w:pPr>
      <w:ind w:left="1417"/>
      <w:spacing w:after="57"/>
    </w:pPr>
    <w:rPr>
      <w:rFonts w:ascii="Times New Roman" w:hAnsi="Times New Roman" w:eastAsia="宋体"/>
      <w:szCs w:val="21"/>
    </w:rPr>
  </w:style>
  <w:style w:type="paragraph" w:styleId="836">
    <w:name w:val="正文文本缩进 311"/>
    <w:basedOn w:val="730"/>
    <w:next w:val="836"/>
    <w:link w:val="837"/>
    <w:uiPriority w:val="99"/>
    <w:qFormat/>
    <w:pPr>
      <w:ind w:left="359" w:firstLine="359"/>
    </w:pPr>
    <w:rPr>
      <w:rFonts w:ascii="Times New Roman" w:hAnsi="Times New Roman" w:eastAsia="宋体"/>
      <w:sz w:val="20"/>
      <w:szCs w:val="20"/>
    </w:rPr>
  </w:style>
  <w:style w:type="character" w:styleId="837">
    <w:name w:val="正文文本缩进 3 Char1"/>
    <w:basedOn w:val="778"/>
    <w:next w:val="837"/>
    <w:link w:val="836"/>
    <w:uiPriority w:val="99"/>
    <w:qFormat/>
    <w:rPr>
      <w:rFonts w:ascii="Times New Roman" w:hAnsi="Times New Roman" w:eastAsia="宋体" w:cs="Times New Roman"/>
      <w:sz w:val="20"/>
      <w:szCs w:val="20"/>
    </w:rPr>
  </w:style>
  <w:style w:type="paragraph" w:styleId="838">
    <w:name w:val="图表目录11"/>
    <w:basedOn w:val="730"/>
    <w:next w:val="730"/>
    <w:link w:val="730"/>
    <w:uiPriority w:val="99"/>
    <w:unhideWhenUsed/>
    <w:qFormat/>
    <w:rPr>
      <w:rFonts w:ascii="Times New Roman" w:hAnsi="Times New Roman" w:eastAsia="宋体"/>
      <w:szCs w:val="21"/>
    </w:rPr>
  </w:style>
  <w:style w:type="paragraph" w:styleId="839">
    <w:name w:val="目录 2111"/>
    <w:basedOn w:val="730"/>
    <w:next w:val="730"/>
    <w:link w:val="730"/>
    <w:uiPriority w:val="39"/>
    <w:unhideWhenUsed/>
    <w:qFormat/>
    <w:pPr>
      <w:ind w:left="283"/>
      <w:spacing w:after="57"/>
    </w:pPr>
    <w:rPr>
      <w:rFonts w:ascii="Times New Roman" w:hAnsi="Times New Roman" w:eastAsia="宋体"/>
      <w:szCs w:val="21"/>
    </w:rPr>
  </w:style>
  <w:style w:type="paragraph" w:styleId="840">
    <w:name w:val="目录 9111"/>
    <w:basedOn w:val="730"/>
    <w:next w:val="730"/>
    <w:link w:val="730"/>
    <w:uiPriority w:val="39"/>
    <w:unhideWhenUsed/>
    <w:qFormat/>
    <w:pPr>
      <w:ind w:left="2268"/>
      <w:spacing w:after="57"/>
    </w:pPr>
    <w:rPr>
      <w:rFonts w:ascii="Times New Roman" w:hAnsi="Times New Roman" w:eastAsia="宋体"/>
      <w:szCs w:val="21"/>
    </w:rPr>
  </w:style>
  <w:style w:type="paragraph" w:styleId="841">
    <w:name w:val="正文文本 211"/>
    <w:basedOn w:val="730"/>
    <w:next w:val="841"/>
    <w:link w:val="842"/>
    <w:uiPriority w:val="99"/>
    <w:qFormat/>
    <w:pPr>
      <w:spacing w:after="120" w:line="480" w:lineRule="auto"/>
    </w:pPr>
    <w:rPr>
      <w:rFonts w:ascii="Times New Roman" w:hAnsi="Times New Roman" w:eastAsia="宋体"/>
      <w:sz w:val="20"/>
      <w:szCs w:val="20"/>
    </w:rPr>
  </w:style>
  <w:style w:type="character" w:styleId="842">
    <w:name w:val="正文文本 2 Char1"/>
    <w:basedOn w:val="778"/>
    <w:next w:val="842"/>
    <w:link w:val="841"/>
    <w:uiPriority w:val="99"/>
    <w:qFormat/>
    <w:rPr>
      <w:rFonts w:ascii="Times New Roman" w:hAnsi="Times New Roman" w:eastAsia="宋体" w:cs="Times New Roman"/>
      <w:sz w:val="20"/>
      <w:szCs w:val="20"/>
    </w:rPr>
  </w:style>
  <w:style w:type="paragraph" w:styleId="843">
    <w:name w:val="普通(网站)11"/>
    <w:basedOn w:val="730"/>
    <w:next w:val="843"/>
    <w:link w:val="73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44">
    <w:name w:val="标题11"/>
    <w:basedOn w:val="730"/>
    <w:next w:val="730"/>
    <w:link w:val="845"/>
    <w:uiPriority w:val="10"/>
    <w:qFormat/>
    <w:pPr>
      <w:contextualSpacing/>
      <w:spacing w:before="300" w:after="200"/>
    </w:pPr>
    <w:rPr>
      <w:rFonts w:ascii="Times New Roman" w:hAnsi="Times New Roman" w:eastAsia="宋体"/>
      <w:sz w:val="48"/>
      <w:szCs w:val="48"/>
    </w:rPr>
  </w:style>
  <w:style w:type="character" w:styleId="845">
    <w:name w:val="标题 Char"/>
    <w:basedOn w:val="778"/>
    <w:next w:val="845"/>
    <w:link w:val="844"/>
    <w:uiPriority w:val="10"/>
    <w:qFormat/>
    <w:rPr>
      <w:rFonts w:ascii="Times New Roman" w:hAnsi="Times New Roman" w:eastAsia="宋体" w:cs="Times New Roman"/>
      <w:sz w:val="48"/>
      <w:szCs w:val="48"/>
    </w:rPr>
  </w:style>
  <w:style w:type="paragraph" w:styleId="846">
    <w:name w:val="批注主题11"/>
    <w:basedOn w:val="804"/>
    <w:next w:val="804"/>
    <w:link w:val="847"/>
    <w:uiPriority w:val="99"/>
    <w:unhideWhenUsed/>
    <w:qFormat/>
    <w:rPr>
      <w:b/>
      <w:bCs/>
    </w:rPr>
  </w:style>
  <w:style w:type="character" w:styleId="847">
    <w:name w:val="批注主题 Char1"/>
    <w:basedOn w:val="805"/>
    <w:next w:val="847"/>
    <w:link w:val="846"/>
    <w:uiPriority w:val="99"/>
    <w:semiHidden/>
    <w:qFormat/>
    <w:rPr>
      <w:b/>
      <w:bCs/>
    </w:rPr>
  </w:style>
  <w:style w:type="paragraph" w:styleId="848">
    <w:name w:val="正文首行缩进11"/>
    <w:basedOn w:val="806"/>
    <w:next w:val="848"/>
    <w:link w:val="730"/>
    <w:uiPriority w:val="99"/>
    <w:unhideWhenUsed/>
    <w:qFormat/>
    <w:pPr>
      <w:ind w:firstLine="420"/>
      <w:spacing w:after="120"/>
    </w:pPr>
    <w:rPr>
      <w:rFonts w:ascii="Calibri" w:hAnsi="Calibri" w:eastAsia="宋体"/>
      <w:sz w:val="21"/>
      <w:szCs w:val="22"/>
    </w:rPr>
  </w:style>
  <w:style w:type="paragraph" w:styleId="849">
    <w:name w:val="正文首行缩进 211"/>
    <w:basedOn w:val="808"/>
    <w:next w:val="730"/>
    <w:link w:val="850"/>
    <w:uiPriority w:val="99"/>
    <w:unhideWhenUsed/>
    <w:qFormat/>
    <w:pPr>
      <w:ind w:left="420" w:firstLine="420"/>
      <w:spacing w:after="120"/>
    </w:pPr>
    <w:rPr>
      <w:rFonts w:ascii="Calibri" w:hAnsi="Calibri" w:eastAsia="Arial"/>
      <w:b w:val="0"/>
      <w:sz w:val="21"/>
      <w:szCs w:val="22"/>
    </w:rPr>
  </w:style>
  <w:style w:type="character" w:styleId="850">
    <w:name w:val="正文首行缩进 2 Char1"/>
    <w:basedOn w:val="809"/>
    <w:next w:val="850"/>
    <w:link w:val="849"/>
    <w:uiPriority w:val="99"/>
    <w:semiHidden/>
    <w:qFormat/>
    <w:rPr>
      <w:rFonts w:ascii="Times New Roman" w:hAnsi="Times New Roman" w:eastAsia="宋体" w:cs="Times New Roman"/>
      <w:b w:val="0"/>
      <w:sz w:val="21"/>
      <w:szCs w:val="22"/>
    </w:rPr>
  </w:style>
  <w:style w:type="table" w:styleId="851">
    <w:name w:val="网格型11"/>
    <w:basedOn w:val="798"/>
    <w:next w:val="851"/>
    <w:link w:val="730"/>
    <w:uiPriority w:val="59"/>
    <w:qFormat/>
    <w:rPr>
      <w:rFonts w:eastAsia="Times New Roman"/>
    </w:rPr>
    <w:tblPr/>
  </w:style>
  <w:style w:type="character" w:styleId="852">
    <w:name w:val="要点11"/>
    <w:next w:val="852"/>
    <w:link w:val="730"/>
    <w:uiPriority w:val="99"/>
    <w:qFormat/>
    <w:rPr>
      <w:rFonts w:cs="Times New Roman"/>
      <w:b/>
      <w:bCs/>
    </w:rPr>
  </w:style>
  <w:style w:type="character" w:styleId="853">
    <w:name w:val="尾注引用1"/>
    <w:next w:val="853"/>
    <w:link w:val="730"/>
    <w:uiPriority w:val="99"/>
    <w:unhideWhenUsed/>
    <w:qFormat/>
    <w:rPr>
      <w:vertAlign w:val="superscript"/>
    </w:rPr>
  </w:style>
  <w:style w:type="character" w:styleId="854">
    <w:name w:val="页码11"/>
    <w:next w:val="854"/>
    <w:link w:val="730"/>
    <w:uiPriority w:val="99"/>
    <w:qFormat/>
    <w:rPr>
      <w:rFonts w:cs="Times New Roman"/>
    </w:rPr>
  </w:style>
  <w:style w:type="character" w:styleId="855">
    <w:name w:val="已访问的超链接11"/>
    <w:next w:val="855"/>
    <w:link w:val="730"/>
    <w:uiPriority w:val="99"/>
    <w:unhideWhenUsed/>
    <w:qFormat/>
    <w:rPr>
      <w:color w:val="800080"/>
      <w:u w:val="single"/>
    </w:rPr>
  </w:style>
  <w:style w:type="character" w:styleId="856">
    <w:name w:val="HTML 打字机11"/>
    <w:next w:val="856"/>
    <w:link w:val="730"/>
    <w:uiPriority w:val="99"/>
    <w:qFormat/>
    <w:rPr>
      <w:rFonts w:ascii="宋体" w:hAnsi="宋体" w:eastAsia="宋体" w:cs="宋体"/>
      <w:sz w:val="24"/>
      <w:szCs w:val="24"/>
    </w:rPr>
  </w:style>
  <w:style w:type="character" w:styleId="857">
    <w:name w:val="超链接11"/>
    <w:next w:val="857"/>
    <w:link w:val="730"/>
    <w:uiPriority w:val="99"/>
    <w:qFormat/>
    <w:rPr>
      <w:rFonts w:cs="Times New Roman"/>
      <w:color w:val="000000"/>
      <w:u w:val="none"/>
    </w:rPr>
  </w:style>
  <w:style w:type="character" w:styleId="858">
    <w:name w:val="批注引用11"/>
    <w:basedOn w:val="778"/>
    <w:next w:val="858"/>
    <w:link w:val="730"/>
    <w:unhideWhenUsed/>
    <w:qFormat/>
    <w:rPr>
      <w:sz w:val="21"/>
      <w:szCs w:val="21"/>
    </w:rPr>
  </w:style>
  <w:style w:type="character" w:styleId="859">
    <w:name w:val="脚注引用1"/>
    <w:next w:val="859"/>
    <w:link w:val="730"/>
    <w:uiPriority w:val="99"/>
    <w:unhideWhenUsed/>
    <w:qFormat/>
    <w:rPr>
      <w:vertAlign w:val="superscript"/>
    </w:rPr>
  </w:style>
  <w:style w:type="character" w:styleId="860">
    <w:name w:val="批注引用1"/>
    <w:next w:val="860"/>
    <w:link w:val="730"/>
    <w:semiHidden/>
    <w:qFormat/>
    <w:rPr>
      <w:rFonts w:ascii="Calibri" w:hAnsi="Calibri" w:eastAsia="Arial" w:cs="Times New Roman"/>
      <w:sz w:val="21"/>
      <w:szCs w:val="22"/>
    </w:rPr>
  </w:style>
  <w:style w:type="paragraph" w:styleId="861">
    <w:name w:val="段"/>
    <w:next w:val="730"/>
    <w:link w:val="730"/>
    <w:qFormat/>
    <w:pPr>
      <w:ind w:firstLine="200"/>
      <w:jc w:val="both"/>
    </w:pPr>
    <w:rPr>
      <w:rFonts w:ascii="宋体" w:hAnsi="Times New Roman" w:eastAsia="宋体" w:cs="Times New Roman"/>
      <w:sz w:val="21"/>
      <w:lang w:val="en-US" w:eastAsia="zh-CN" w:bidi="ar-SA"/>
    </w:rPr>
  </w:style>
  <w:style w:type="paragraph" w:styleId="862">
    <w:name w:val="TOC 标题1"/>
    <w:next w:val="862"/>
    <w:link w:val="730"/>
    <w:uiPriority w:val="39"/>
    <w:unhideWhenUsed/>
    <w:qFormat/>
    <w:rPr>
      <w:rFonts w:ascii="Calibri" w:hAnsi="Calibri" w:eastAsia="Arial" w:cs="Times New Roman"/>
      <w:lang w:val="en-US" w:eastAsia="zh-CN" w:bidi="ar-SA"/>
    </w:rPr>
  </w:style>
  <w:style w:type="paragraph" w:styleId="863">
    <w:name w:val="font5"/>
    <w:basedOn w:val="730"/>
    <w:next w:val="863"/>
    <w:link w:val="730"/>
    <w:qFormat/>
    <w:pPr>
      <w:jc w:val="left"/>
      <w:spacing w:before="100" w:beforeAutospacing="1" w:after="100" w:afterAutospacing="1"/>
      <w:widowControl/>
    </w:pPr>
    <w:rPr>
      <w:rFonts w:ascii="宋体" w:hAnsi="宋体" w:eastAsia="宋体"/>
      <w:sz w:val="18"/>
      <w:szCs w:val="18"/>
    </w:rPr>
  </w:style>
  <w:style w:type="paragraph" w:styleId="864">
    <w:name w:val="font6"/>
    <w:basedOn w:val="730"/>
    <w:next w:val="864"/>
    <w:link w:val="730"/>
    <w:qFormat/>
    <w:pPr>
      <w:jc w:val="left"/>
      <w:spacing w:before="100" w:beforeAutospacing="1" w:after="100" w:afterAutospacing="1"/>
      <w:widowControl/>
    </w:pPr>
    <w:rPr>
      <w:rFonts w:ascii="宋体" w:hAnsi="宋体" w:eastAsia="宋体"/>
      <w:b/>
      <w:bCs/>
      <w:sz w:val="20"/>
      <w:szCs w:val="20"/>
    </w:rPr>
  </w:style>
  <w:style w:type="paragraph" w:styleId="865">
    <w:name w:val="font7"/>
    <w:basedOn w:val="730"/>
    <w:next w:val="865"/>
    <w:link w:val="730"/>
    <w:qFormat/>
    <w:pPr>
      <w:jc w:val="left"/>
      <w:spacing w:before="100" w:beforeAutospacing="1" w:after="100" w:afterAutospacing="1"/>
      <w:widowControl/>
    </w:pPr>
    <w:rPr>
      <w:rFonts w:ascii="Times New Roman" w:hAnsi="Times New Roman" w:eastAsia="宋体"/>
      <w:b/>
      <w:bCs/>
      <w:i/>
      <w:iCs/>
      <w:sz w:val="20"/>
      <w:szCs w:val="20"/>
    </w:rPr>
  </w:style>
  <w:style w:type="paragraph" w:styleId="866">
    <w:name w:val="font8"/>
    <w:basedOn w:val="730"/>
    <w:next w:val="866"/>
    <w:link w:val="730"/>
    <w:uiPriority w:val="99"/>
    <w:qFormat/>
    <w:pPr>
      <w:jc w:val="left"/>
      <w:spacing w:before="100" w:beforeAutospacing="1" w:after="100" w:afterAutospacing="1"/>
      <w:widowControl/>
    </w:pPr>
    <w:rPr>
      <w:rFonts w:ascii="宋体" w:hAnsi="宋体" w:eastAsia="宋体"/>
      <w:b/>
      <w:bCs/>
      <w:i/>
      <w:iCs/>
      <w:sz w:val="20"/>
      <w:szCs w:val="20"/>
    </w:rPr>
  </w:style>
  <w:style w:type="paragraph" w:styleId="867">
    <w:name w:val="font9"/>
    <w:basedOn w:val="730"/>
    <w:next w:val="867"/>
    <w:link w:val="730"/>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68">
    <w:name w:val="xl24"/>
    <w:basedOn w:val="730"/>
    <w:next w:val="868"/>
    <w:link w:val="7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9">
    <w:name w:val="xl25"/>
    <w:basedOn w:val="730"/>
    <w:next w:val="869"/>
    <w:link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0">
    <w:name w:val="xl26"/>
    <w:basedOn w:val="730"/>
    <w:next w:val="870"/>
    <w:link w:val="7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1">
    <w:name w:val="xl27"/>
    <w:basedOn w:val="730"/>
    <w:next w:val="871"/>
    <w:link w:val="7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2">
    <w:name w:val="xl28"/>
    <w:basedOn w:val="730"/>
    <w:next w:val="872"/>
    <w:link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3">
    <w:name w:val="xl29"/>
    <w:basedOn w:val="730"/>
    <w:next w:val="873"/>
    <w:link w:val="7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4">
    <w:name w:val="xl30"/>
    <w:basedOn w:val="730"/>
    <w:next w:val="874"/>
    <w:link w:val="7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5">
    <w:name w:val="xl31"/>
    <w:basedOn w:val="730"/>
    <w:next w:val="875"/>
    <w:link w:val="73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76">
    <w:name w:val="xl32"/>
    <w:basedOn w:val="730"/>
    <w:next w:val="876"/>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7">
    <w:name w:val="xl33"/>
    <w:basedOn w:val="730"/>
    <w:next w:val="877"/>
    <w:link w:val="73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8">
    <w:name w:val="xl34"/>
    <w:basedOn w:val="730"/>
    <w:next w:val="878"/>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9">
    <w:name w:val="xl35"/>
    <w:basedOn w:val="730"/>
    <w:next w:val="879"/>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0">
    <w:name w:val="xl36"/>
    <w:basedOn w:val="730"/>
    <w:next w:val="880"/>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1">
    <w:name w:val="xl37"/>
    <w:basedOn w:val="730"/>
    <w:next w:val="881"/>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2">
    <w:name w:val="xl38"/>
    <w:basedOn w:val="730"/>
    <w:next w:val="882"/>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3">
    <w:name w:val="xl39"/>
    <w:basedOn w:val="730"/>
    <w:next w:val="883"/>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84">
    <w:name w:val="xl40"/>
    <w:basedOn w:val="730"/>
    <w:next w:val="884"/>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5">
    <w:name w:val="xl41"/>
    <w:basedOn w:val="730"/>
    <w:next w:val="885"/>
    <w:link w:val="73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6">
    <w:name w:val="xl42"/>
    <w:basedOn w:val="730"/>
    <w:next w:val="886"/>
    <w:link w:val="73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7">
    <w:name w:val="xl43"/>
    <w:basedOn w:val="730"/>
    <w:next w:val="887"/>
    <w:link w:val="73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88">
    <w:name w:val="xl44"/>
    <w:basedOn w:val="730"/>
    <w:next w:val="888"/>
    <w:link w:val="73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89">
    <w:name w:val="xl45"/>
    <w:basedOn w:val="730"/>
    <w:next w:val="889"/>
    <w:link w:val="73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90">
    <w:name w:val="xl46"/>
    <w:basedOn w:val="730"/>
    <w:next w:val="890"/>
    <w:link w:val="73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91">
    <w:name w:val="xl47"/>
    <w:basedOn w:val="730"/>
    <w:next w:val="891"/>
    <w:link w:val="73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92">
    <w:name w:val="xl48"/>
    <w:basedOn w:val="730"/>
    <w:next w:val="892"/>
    <w:link w:val="73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93">
    <w:name w:val="xl49"/>
    <w:basedOn w:val="730"/>
    <w:next w:val="893"/>
    <w:link w:val="73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94">
    <w:name w:val="xl50"/>
    <w:basedOn w:val="730"/>
    <w:next w:val="894"/>
    <w:link w:val="73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5">
    <w:name w:val="xl51"/>
    <w:basedOn w:val="730"/>
    <w:next w:val="895"/>
    <w:link w:val="73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96">
    <w:name w:val="xl52"/>
    <w:basedOn w:val="730"/>
    <w:next w:val="896"/>
    <w:link w:val="73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7">
    <w:name w:val="xl53"/>
    <w:basedOn w:val="730"/>
    <w:next w:val="897"/>
    <w:link w:val="73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8">
    <w:name w:val="xl54"/>
    <w:basedOn w:val="730"/>
    <w:next w:val="898"/>
    <w:link w:val="73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99">
    <w:name w:val="xl55"/>
    <w:basedOn w:val="730"/>
    <w:next w:val="899"/>
    <w:link w:val="73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00">
    <w:name w:val="xl56"/>
    <w:basedOn w:val="730"/>
    <w:next w:val="900"/>
    <w:link w:val="73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1">
    <w:name w:val="xl57"/>
    <w:basedOn w:val="730"/>
    <w:next w:val="901"/>
    <w:link w:val="73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02">
    <w:name w:val="xl58"/>
    <w:basedOn w:val="730"/>
    <w:next w:val="902"/>
    <w:link w:val="730"/>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03">
    <w:name w:val="xl59"/>
    <w:basedOn w:val="730"/>
    <w:next w:val="903"/>
    <w:link w:val="73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4">
    <w:name w:val="xl60"/>
    <w:basedOn w:val="730"/>
    <w:next w:val="904"/>
    <w:link w:val="73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05">
    <w:name w:val="xl61"/>
    <w:basedOn w:val="730"/>
    <w:next w:val="905"/>
    <w:link w:val="73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06">
    <w:name w:val="xl62"/>
    <w:basedOn w:val="730"/>
    <w:next w:val="906"/>
    <w:link w:val="73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7">
    <w:name w:val="xl63"/>
    <w:basedOn w:val="730"/>
    <w:next w:val="907"/>
    <w:link w:val="73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08">
    <w:name w:val="font10"/>
    <w:basedOn w:val="730"/>
    <w:next w:val="908"/>
    <w:link w:val="730"/>
    <w:uiPriority w:val="99"/>
    <w:qFormat/>
    <w:pPr>
      <w:jc w:val="left"/>
      <w:spacing w:before="100" w:beforeAutospacing="1" w:after="100" w:afterAutospacing="1"/>
      <w:widowControl/>
    </w:pPr>
    <w:rPr>
      <w:rFonts w:ascii="楷体_GB2312" w:hAnsi="宋体" w:eastAsia="楷体_GB2312"/>
      <w:b/>
      <w:bCs/>
      <w:sz w:val="18"/>
      <w:szCs w:val="18"/>
    </w:rPr>
  </w:style>
  <w:style w:type="paragraph" w:styleId="909">
    <w:name w:val="font11"/>
    <w:basedOn w:val="730"/>
    <w:next w:val="909"/>
    <w:link w:val="730"/>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10">
    <w:name w:val="font12"/>
    <w:basedOn w:val="730"/>
    <w:next w:val="910"/>
    <w:link w:val="730"/>
    <w:uiPriority w:val="99"/>
    <w:qFormat/>
    <w:pPr>
      <w:jc w:val="left"/>
      <w:spacing w:before="100" w:beforeAutospacing="1" w:after="100" w:afterAutospacing="1"/>
      <w:widowControl/>
    </w:pPr>
    <w:rPr>
      <w:rFonts w:ascii="宋体" w:hAnsi="宋体" w:eastAsia="宋体"/>
      <w:sz w:val="36"/>
      <w:szCs w:val="36"/>
    </w:rPr>
  </w:style>
  <w:style w:type="paragraph" w:styleId="911">
    <w:name w:val="font13"/>
    <w:basedOn w:val="730"/>
    <w:next w:val="911"/>
    <w:link w:val="730"/>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12">
    <w:name w:val="font14"/>
    <w:basedOn w:val="730"/>
    <w:next w:val="912"/>
    <w:link w:val="730"/>
    <w:uiPriority w:val="99"/>
    <w:qFormat/>
    <w:pPr>
      <w:jc w:val="left"/>
      <w:spacing w:before="100" w:beforeAutospacing="1" w:after="100" w:afterAutospacing="1"/>
      <w:widowControl/>
    </w:pPr>
    <w:rPr>
      <w:rFonts w:ascii="Times New Roman" w:hAnsi="Times New Roman" w:eastAsia="宋体"/>
      <w:sz w:val="36"/>
      <w:szCs w:val="36"/>
    </w:rPr>
  </w:style>
  <w:style w:type="character" w:styleId="913">
    <w:name w:val="case31"/>
    <w:next w:val="913"/>
    <w:link w:val="730"/>
    <w:uiPriority w:val="99"/>
    <w:qFormat/>
    <w:rPr>
      <w:rFonts w:cs="Times New Roman"/>
      <w:spacing w:val="390"/>
      <w:sz w:val="21"/>
      <w:szCs w:val="21"/>
    </w:rPr>
  </w:style>
  <w:style w:type="paragraph" w:styleId="914">
    <w:name w:val="普通文字"/>
    <w:basedOn w:val="730"/>
    <w:next w:val="730"/>
    <w:link w:val="730"/>
    <w:uiPriority w:val="99"/>
    <w:qFormat/>
    <w:rPr>
      <w:rFonts w:ascii="宋体" w:hAnsi="Times New Roman" w:eastAsia="宋体"/>
      <w:sz w:val="24"/>
      <w:szCs w:val="20"/>
    </w:rPr>
  </w:style>
  <w:style w:type="paragraph" w:styleId="915">
    <w:name w:val="默认段落字体 Para Char"/>
    <w:basedOn w:val="730"/>
    <w:next w:val="915"/>
    <w:link w:val="730"/>
    <w:uiPriority w:val="99"/>
    <w:qFormat/>
    <w:pPr>
      <w:ind w:left="552" w:hanging="420"/>
      <w:tabs>
        <w:tab w:val="left" w:pos="552" w:leader="none"/>
      </w:tabs>
    </w:pPr>
    <w:rPr>
      <w:rFonts w:ascii="Times New Roman" w:hAnsi="Times New Roman" w:eastAsia="宋体"/>
      <w:sz w:val="24"/>
      <w:szCs w:val="24"/>
    </w:rPr>
  </w:style>
  <w:style w:type="paragraph" w:styleId="916">
    <w:name w:val="Char Char Char Char"/>
    <w:basedOn w:val="802"/>
    <w:next w:val="916"/>
    <w:link w:val="730"/>
    <w:qFormat/>
    <w:pPr>
      <w:spacing w:line="360" w:lineRule="auto"/>
    </w:pPr>
    <w:rPr>
      <w:rFonts w:ascii="Tahoma" w:hAnsi="Tahoma"/>
      <w:sz w:val="24"/>
      <w:szCs w:val="24"/>
    </w:rPr>
  </w:style>
  <w:style w:type="paragraph" w:styleId="917">
    <w:name w:val="Char Char1 Char Char Char Char"/>
    <w:basedOn w:val="802"/>
    <w:next w:val="917"/>
    <w:link w:val="730"/>
    <w:uiPriority w:val="99"/>
    <w:qFormat/>
    <w:pPr>
      <w:ind w:left="357"/>
      <w:jc w:val="left"/>
      <w:spacing w:line="436" w:lineRule="exact"/>
      <w:outlineLvl w:val="3"/>
    </w:pPr>
    <w:rPr>
      <w:rFonts w:ascii="Tahoma" w:hAnsi="Tahoma"/>
      <w:b/>
      <w:sz w:val="24"/>
      <w:szCs w:val="24"/>
    </w:rPr>
  </w:style>
  <w:style w:type="paragraph" w:styleId="918">
    <w:name w:val="List Paragraph"/>
    <w:basedOn w:val="730"/>
    <w:next w:val="918"/>
    <w:link w:val="730"/>
    <w:uiPriority w:val="34"/>
    <w:qFormat/>
    <w:pPr>
      <w:numPr>
        <w:ilvl w:val="0"/>
        <w:numId w:val="2"/>
      </w:numPr>
      <w:spacing w:line="360" w:lineRule="auto"/>
    </w:pPr>
    <w:rPr>
      <w:rFonts w:ascii="Arial" w:hAnsi="Arial" w:eastAsia="宋体" w:cs="宋体"/>
      <w:b/>
      <w:sz w:val="24"/>
      <w:szCs w:val="20"/>
    </w:rPr>
  </w:style>
  <w:style w:type="paragraph" w:styleId="919">
    <w:name w:val="修订1"/>
    <w:next w:val="919"/>
    <w:link w:val="730"/>
    <w:uiPriority w:val="99"/>
    <w:semiHidden/>
    <w:qFormat/>
    <w:rPr>
      <w:rFonts w:ascii="Times New Roman" w:hAnsi="Times New Roman" w:eastAsia="宋体" w:cs="Times New Roman"/>
      <w:sz w:val="21"/>
      <w:lang w:val="en-US" w:eastAsia="zh-CN" w:bidi="ar-SA"/>
    </w:rPr>
  </w:style>
  <w:style w:type="paragraph" w:styleId="920">
    <w:name w:val="列表段落1"/>
    <w:basedOn w:val="730"/>
    <w:next w:val="920"/>
    <w:link w:val="730"/>
    <w:uiPriority w:val="34"/>
    <w:qFormat/>
    <w:pPr>
      <w:ind w:firstLine="420"/>
    </w:pPr>
  </w:style>
  <w:style w:type="paragraph" w:styleId="921">
    <w:name w:val="样式 小四 段前: 5 磅 段后: 5 磅 首行缩进:  2 字符"/>
    <w:basedOn w:val="730"/>
    <w:next w:val="921"/>
    <w:link w:val="730"/>
    <w:qFormat/>
    <w:pPr>
      <w:spacing w:line="360" w:lineRule="auto"/>
    </w:pPr>
    <w:rPr>
      <w:rFonts w:ascii="宋体" w:hAnsi="宋体"/>
      <w:szCs w:val="21"/>
    </w:rPr>
  </w:style>
  <w:style w:type="table" w:styleId="922">
    <w:name w:val="网格型1"/>
    <w:basedOn w:val="798"/>
    <w:next w:val="922"/>
    <w:link w:val="730"/>
    <w:uiPriority w:val="59"/>
    <w:qFormat/>
    <w:tblPr/>
  </w:style>
  <w:style w:type="table" w:styleId="923">
    <w:name w:val="网格型2"/>
    <w:basedOn w:val="798"/>
    <w:next w:val="923"/>
    <w:link w:val="730"/>
    <w:uiPriority w:val="39"/>
    <w:qFormat/>
    <w:tblPr/>
  </w:style>
  <w:style w:type="table" w:styleId="924">
    <w:name w:val="网格型3"/>
    <w:basedOn w:val="798"/>
    <w:next w:val="924"/>
    <w:link w:val="730"/>
    <w:uiPriority w:val="39"/>
    <w:qFormat/>
    <w:tblPr/>
  </w:style>
  <w:style w:type="table" w:styleId="925">
    <w:name w:val="网格型4"/>
    <w:basedOn w:val="798"/>
    <w:next w:val="925"/>
    <w:link w:val="730"/>
    <w:uiPriority w:val="39"/>
    <w:qFormat/>
    <w:tblPr/>
  </w:style>
  <w:style w:type="paragraph" w:styleId="926">
    <w:name w:val="List Paragraph1"/>
    <w:basedOn w:val="730"/>
    <w:next w:val="926"/>
    <w:link w:val="730"/>
    <w:qFormat/>
    <w:pPr>
      <w:ind w:firstLine="420"/>
    </w:pPr>
    <w:rPr>
      <w:szCs w:val="21"/>
    </w:rPr>
  </w:style>
  <w:style w:type="paragraph" w:styleId="927">
    <w:name w:val="标题 31"/>
    <w:basedOn w:val="730"/>
    <w:next w:val="730"/>
    <w:link w:val="928"/>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28">
    <w:name w:val="标题 3 Char"/>
    <w:next w:val="928"/>
    <w:link w:val="927"/>
    <w:qFormat/>
    <w:rPr>
      <w:rFonts w:ascii="Times New Roman" w:hAnsi="Times New Roman" w:eastAsia="宋体" w:cs="Times New Roman"/>
      <w:b/>
      <w:bCs/>
      <w:sz w:val="32"/>
      <w:szCs w:val="32"/>
      <w:lang w:eastAsia="en-US"/>
    </w:rPr>
  </w:style>
  <w:style w:type="character" w:styleId="929">
    <w:name w:val="Heading 1 Char"/>
    <w:next w:val="929"/>
    <w:link w:val="730"/>
    <w:uiPriority w:val="9"/>
    <w:qFormat/>
    <w:rPr>
      <w:rFonts w:ascii="Arial" w:hAnsi="Arial" w:eastAsia="Arial" w:cs="Arial"/>
      <w:sz w:val="40"/>
      <w:szCs w:val="40"/>
    </w:rPr>
  </w:style>
  <w:style w:type="character" w:styleId="930">
    <w:name w:val="Heading 2 Char"/>
    <w:next w:val="930"/>
    <w:link w:val="730"/>
    <w:uiPriority w:val="9"/>
    <w:qFormat/>
    <w:rPr>
      <w:rFonts w:ascii="Arial" w:hAnsi="Arial" w:eastAsia="Arial" w:cs="Arial"/>
      <w:sz w:val="34"/>
    </w:rPr>
  </w:style>
  <w:style w:type="character" w:styleId="931">
    <w:name w:val="Heading 3 Char"/>
    <w:next w:val="931"/>
    <w:link w:val="730"/>
    <w:uiPriority w:val="9"/>
    <w:qFormat/>
    <w:rPr>
      <w:rFonts w:ascii="Arial" w:hAnsi="Arial" w:eastAsia="Arial" w:cs="Arial"/>
      <w:sz w:val="30"/>
      <w:szCs w:val="30"/>
    </w:rPr>
  </w:style>
  <w:style w:type="character" w:styleId="932">
    <w:name w:val="Heading 4 Char"/>
    <w:next w:val="932"/>
    <w:link w:val="730"/>
    <w:uiPriority w:val="9"/>
    <w:qFormat/>
    <w:rPr>
      <w:rFonts w:ascii="Arial" w:hAnsi="Arial" w:eastAsia="Arial" w:cs="Arial"/>
      <w:b/>
      <w:bCs/>
      <w:sz w:val="26"/>
      <w:szCs w:val="26"/>
    </w:rPr>
  </w:style>
  <w:style w:type="character" w:styleId="933">
    <w:name w:val="Heading 5 Char"/>
    <w:next w:val="933"/>
    <w:link w:val="730"/>
    <w:uiPriority w:val="9"/>
    <w:qFormat/>
    <w:rPr>
      <w:rFonts w:ascii="Arial" w:hAnsi="Arial" w:eastAsia="Arial" w:cs="Arial"/>
      <w:b/>
      <w:bCs/>
      <w:sz w:val="24"/>
      <w:szCs w:val="24"/>
    </w:rPr>
  </w:style>
  <w:style w:type="character" w:styleId="934">
    <w:name w:val="Heading 6 Char"/>
    <w:next w:val="934"/>
    <w:link w:val="730"/>
    <w:uiPriority w:val="9"/>
    <w:qFormat/>
    <w:rPr>
      <w:rFonts w:ascii="Arial" w:hAnsi="Arial" w:eastAsia="Arial" w:cs="Arial"/>
      <w:b/>
      <w:bCs/>
      <w:sz w:val="22"/>
      <w:szCs w:val="22"/>
    </w:rPr>
  </w:style>
  <w:style w:type="character" w:styleId="935">
    <w:name w:val="Heading 7 Char"/>
    <w:next w:val="935"/>
    <w:link w:val="730"/>
    <w:uiPriority w:val="9"/>
    <w:qFormat/>
    <w:rPr>
      <w:rFonts w:ascii="Arial" w:hAnsi="Arial" w:eastAsia="Arial" w:cs="Arial"/>
      <w:b/>
      <w:bCs/>
      <w:i/>
      <w:iCs/>
      <w:sz w:val="22"/>
      <w:szCs w:val="22"/>
    </w:rPr>
  </w:style>
  <w:style w:type="character" w:styleId="936">
    <w:name w:val="Heading 8 Char"/>
    <w:next w:val="936"/>
    <w:link w:val="730"/>
    <w:uiPriority w:val="9"/>
    <w:qFormat/>
    <w:rPr>
      <w:rFonts w:ascii="Arial" w:hAnsi="Arial" w:eastAsia="Arial" w:cs="Arial"/>
      <w:i/>
      <w:iCs/>
      <w:sz w:val="22"/>
      <w:szCs w:val="22"/>
    </w:rPr>
  </w:style>
  <w:style w:type="character" w:styleId="937">
    <w:name w:val="Heading 9 Char"/>
    <w:next w:val="937"/>
    <w:link w:val="730"/>
    <w:uiPriority w:val="9"/>
    <w:qFormat/>
    <w:rPr>
      <w:rFonts w:ascii="Arial" w:hAnsi="Arial" w:eastAsia="Arial" w:cs="Arial"/>
      <w:i/>
      <w:iCs/>
      <w:sz w:val="21"/>
      <w:szCs w:val="21"/>
    </w:rPr>
  </w:style>
  <w:style w:type="paragraph" w:styleId="938">
    <w:name w:val="No Spacing"/>
    <w:next w:val="938"/>
    <w:link w:val="730"/>
    <w:uiPriority w:val="1"/>
    <w:qFormat/>
    <w:rPr>
      <w:rFonts w:ascii="Calibri" w:hAnsi="Calibri" w:eastAsia="宋体" w:cs="Times New Roman"/>
      <w:lang w:val="en-US" w:eastAsia="zh-CN" w:bidi="ar-SA"/>
    </w:rPr>
  </w:style>
  <w:style w:type="character" w:styleId="939">
    <w:name w:val="Title Char"/>
    <w:next w:val="939"/>
    <w:link w:val="730"/>
    <w:uiPriority w:val="10"/>
    <w:qFormat/>
    <w:rPr>
      <w:sz w:val="48"/>
      <w:szCs w:val="48"/>
    </w:rPr>
  </w:style>
  <w:style w:type="character" w:styleId="940">
    <w:name w:val="Subtitle Char"/>
    <w:next w:val="940"/>
    <w:link w:val="730"/>
    <w:uiPriority w:val="11"/>
    <w:qFormat/>
    <w:rPr>
      <w:sz w:val="24"/>
      <w:szCs w:val="24"/>
    </w:rPr>
  </w:style>
  <w:style w:type="paragraph" w:styleId="941">
    <w:name w:val="Quote"/>
    <w:basedOn w:val="730"/>
    <w:next w:val="730"/>
    <w:link w:val="942"/>
    <w:uiPriority w:val="29"/>
    <w:qFormat/>
    <w:pPr>
      <w:ind w:left="720" w:right="720"/>
    </w:pPr>
    <w:rPr>
      <w:rFonts w:ascii="Times New Roman" w:hAnsi="Times New Roman" w:eastAsia="宋体"/>
      <w:i/>
      <w:szCs w:val="21"/>
    </w:rPr>
  </w:style>
  <w:style w:type="character" w:styleId="942">
    <w:name w:val="引用 Char"/>
    <w:basedOn w:val="778"/>
    <w:next w:val="942"/>
    <w:link w:val="941"/>
    <w:uiPriority w:val="29"/>
    <w:qFormat/>
    <w:rPr>
      <w:rFonts w:ascii="Times New Roman" w:hAnsi="Times New Roman" w:eastAsia="宋体" w:cs="Times New Roman"/>
      <w:i/>
      <w:sz w:val="21"/>
      <w:szCs w:val="21"/>
    </w:rPr>
  </w:style>
  <w:style w:type="character" w:styleId="943">
    <w:name w:val="Quote Char"/>
    <w:next w:val="943"/>
    <w:link w:val="730"/>
    <w:uiPriority w:val="29"/>
    <w:qFormat/>
    <w:rPr>
      <w:i/>
    </w:rPr>
  </w:style>
  <w:style w:type="paragraph" w:styleId="944">
    <w:name w:val="Intense Quote"/>
    <w:basedOn w:val="730"/>
    <w:next w:val="730"/>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45">
    <w:name w:val="明显引用 Char"/>
    <w:basedOn w:val="778"/>
    <w:next w:val="945"/>
    <w:link w:val="944"/>
    <w:uiPriority w:val="30"/>
    <w:qFormat/>
    <w:rPr>
      <w:rFonts w:ascii="Times New Roman" w:hAnsi="Times New Roman" w:eastAsia="宋体" w:cs="Times New Roman"/>
      <w:i/>
      <w:sz w:val="21"/>
      <w:szCs w:val="21"/>
      <w:shd w:val="clear" w:color="auto" w:fill="f2f2f2"/>
    </w:rPr>
  </w:style>
  <w:style w:type="character" w:styleId="946">
    <w:name w:val="Intense Quote Char"/>
    <w:next w:val="946"/>
    <w:link w:val="730"/>
    <w:uiPriority w:val="30"/>
    <w:qFormat/>
    <w:rPr>
      <w:i/>
    </w:rPr>
  </w:style>
  <w:style w:type="character" w:styleId="947">
    <w:name w:val="Header Char"/>
    <w:next w:val="947"/>
    <w:link w:val="730"/>
    <w:uiPriority w:val="99"/>
    <w:qFormat/>
  </w:style>
  <w:style w:type="character" w:styleId="948">
    <w:name w:val="Footer Char"/>
    <w:next w:val="948"/>
    <w:link w:val="730"/>
    <w:uiPriority w:val="99"/>
    <w:qFormat/>
  </w:style>
  <w:style w:type="character" w:styleId="949">
    <w:name w:val="Caption Char"/>
    <w:next w:val="949"/>
    <w:link w:val="730"/>
    <w:uiPriority w:val="99"/>
    <w:qFormat/>
  </w:style>
  <w:style w:type="character" w:styleId="950">
    <w:name w:val="Footnote Text Char"/>
    <w:next w:val="950"/>
    <w:link w:val="730"/>
    <w:uiPriority w:val="99"/>
    <w:qFormat/>
    <w:rPr>
      <w:sz w:val="18"/>
    </w:rPr>
  </w:style>
  <w:style w:type="character" w:styleId="951">
    <w:name w:val="Endnote Text Char"/>
    <w:next w:val="951"/>
    <w:link w:val="730"/>
    <w:uiPriority w:val="99"/>
    <w:qFormat/>
    <w:rPr>
      <w:sz w:val="20"/>
    </w:rPr>
  </w:style>
  <w:style w:type="paragraph" w:styleId="952">
    <w:name w:val="目录 71"/>
    <w:basedOn w:val="730"/>
    <w:next w:val="730"/>
    <w:link w:val="730"/>
    <w:uiPriority w:val="39"/>
    <w:unhideWhenUsed/>
    <w:qFormat/>
    <w:pPr>
      <w:ind w:left="1701"/>
      <w:spacing w:after="57"/>
    </w:pPr>
    <w:rPr>
      <w:rFonts w:ascii="Times New Roman" w:hAnsi="Times New Roman" w:eastAsia="宋体"/>
      <w:szCs w:val="21"/>
    </w:rPr>
  </w:style>
  <w:style w:type="paragraph" w:styleId="953">
    <w:name w:val="目录 51"/>
    <w:basedOn w:val="730"/>
    <w:next w:val="730"/>
    <w:link w:val="730"/>
    <w:uiPriority w:val="39"/>
    <w:unhideWhenUsed/>
    <w:qFormat/>
    <w:pPr>
      <w:ind w:left="1134"/>
      <w:spacing w:after="57"/>
    </w:pPr>
    <w:rPr>
      <w:rFonts w:ascii="Times New Roman" w:hAnsi="Times New Roman" w:eastAsia="宋体"/>
      <w:szCs w:val="21"/>
    </w:rPr>
  </w:style>
  <w:style w:type="paragraph" w:styleId="954">
    <w:name w:val="目录 31"/>
    <w:basedOn w:val="730"/>
    <w:next w:val="730"/>
    <w:link w:val="730"/>
    <w:uiPriority w:val="39"/>
    <w:unhideWhenUsed/>
    <w:qFormat/>
    <w:pPr>
      <w:ind w:left="567"/>
      <w:spacing w:after="57"/>
    </w:pPr>
    <w:rPr>
      <w:rFonts w:ascii="Times New Roman" w:hAnsi="Times New Roman" w:eastAsia="宋体"/>
      <w:szCs w:val="21"/>
    </w:rPr>
  </w:style>
  <w:style w:type="paragraph" w:styleId="955">
    <w:name w:val="目录 81"/>
    <w:basedOn w:val="730"/>
    <w:next w:val="730"/>
    <w:link w:val="730"/>
    <w:uiPriority w:val="39"/>
    <w:unhideWhenUsed/>
    <w:qFormat/>
    <w:pPr>
      <w:ind w:left="1984"/>
      <w:spacing w:after="57"/>
    </w:pPr>
    <w:rPr>
      <w:rFonts w:ascii="Times New Roman" w:hAnsi="Times New Roman" w:eastAsia="宋体"/>
      <w:szCs w:val="21"/>
    </w:rPr>
  </w:style>
  <w:style w:type="character" w:styleId="956">
    <w:name w:val="页脚 字符1"/>
    <w:next w:val="956"/>
    <w:link w:val="730"/>
    <w:uiPriority w:val="99"/>
    <w:qFormat/>
  </w:style>
  <w:style w:type="paragraph" w:styleId="957">
    <w:name w:val="目录 11"/>
    <w:basedOn w:val="730"/>
    <w:next w:val="730"/>
    <w:link w:val="730"/>
    <w:uiPriority w:val="39"/>
    <w:unhideWhenUsed/>
    <w:qFormat/>
    <w:pPr>
      <w:spacing w:after="57"/>
    </w:pPr>
    <w:rPr>
      <w:rFonts w:ascii="Times New Roman" w:hAnsi="Times New Roman" w:eastAsia="宋体"/>
      <w:szCs w:val="21"/>
    </w:rPr>
  </w:style>
  <w:style w:type="paragraph" w:styleId="958">
    <w:name w:val="目录 41"/>
    <w:basedOn w:val="730"/>
    <w:next w:val="730"/>
    <w:link w:val="730"/>
    <w:uiPriority w:val="39"/>
    <w:unhideWhenUsed/>
    <w:qFormat/>
    <w:pPr>
      <w:ind w:left="850"/>
      <w:spacing w:after="57"/>
    </w:pPr>
    <w:rPr>
      <w:rFonts w:ascii="Times New Roman" w:hAnsi="Times New Roman" w:eastAsia="宋体"/>
      <w:szCs w:val="21"/>
    </w:rPr>
  </w:style>
  <w:style w:type="paragraph" w:styleId="959">
    <w:name w:val="目录 61"/>
    <w:basedOn w:val="730"/>
    <w:next w:val="730"/>
    <w:link w:val="730"/>
    <w:uiPriority w:val="39"/>
    <w:unhideWhenUsed/>
    <w:qFormat/>
    <w:pPr>
      <w:ind w:left="1417"/>
      <w:spacing w:after="57"/>
    </w:pPr>
    <w:rPr>
      <w:rFonts w:ascii="Times New Roman" w:hAnsi="Times New Roman" w:eastAsia="宋体"/>
      <w:szCs w:val="21"/>
    </w:rPr>
  </w:style>
  <w:style w:type="paragraph" w:styleId="960">
    <w:name w:val="目录 21"/>
    <w:basedOn w:val="730"/>
    <w:next w:val="730"/>
    <w:link w:val="730"/>
    <w:uiPriority w:val="39"/>
    <w:unhideWhenUsed/>
    <w:qFormat/>
    <w:pPr>
      <w:ind w:left="283"/>
      <w:spacing w:after="57"/>
    </w:pPr>
    <w:rPr>
      <w:rFonts w:ascii="Times New Roman" w:hAnsi="Times New Roman" w:eastAsia="宋体"/>
      <w:szCs w:val="21"/>
    </w:rPr>
  </w:style>
  <w:style w:type="paragraph" w:styleId="961">
    <w:name w:val="目录 91"/>
    <w:basedOn w:val="730"/>
    <w:next w:val="730"/>
    <w:link w:val="730"/>
    <w:uiPriority w:val="39"/>
    <w:unhideWhenUsed/>
    <w:qFormat/>
    <w:pPr>
      <w:ind w:left="2268"/>
      <w:spacing w:after="57"/>
    </w:pPr>
    <w:rPr>
      <w:rFonts w:ascii="Times New Roman" w:hAnsi="Times New Roman" w:eastAsia="宋体"/>
      <w:szCs w:val="21"/>
    </w:rPr>
  </w:style>
  <w:style w:type="character" w:styleId="962">
    <w:name w:val="font5 Char"/>
    <w:next w:val="962"/>
    <w:link w:val="730"/>
    <w:qFormat/>
    <w:rPr>
      <w:rFonts w:ascii="宋体" w:hAnsi="宋体" w:eastAsia="宋体"/>
      <w:sz w:val="28"/>
      <w:szCs w:val="28"/>
      <w:lang w:val="en-US" w:eastAsia="zh-CN" w:bidi="ar-SA"/>
    </w:rPr>
  </w:style>
  <w:style w:type="paragraph" w:styleId="963">
    <w:name w:val="列出段落2"/>
    <w:basedOn w:val="730"/>
    <w:next w:val="963"/>
    <w:link w:val="730"/>
    <w:uiPriority w:val="34"/>
    <w:qFormat/>
    <w:pPr>
      <w:contextualSpacing/>
      <w:ind w:left="720"/>
    </w:pPr>
    <w:rPr>
      <w:rFonts w:ascii="Times New Roman" w:hAnsi="Times New Roman" w:eastAsia="宋体"/>
      <w:szCs w:val="21"/>
    </w:rPr>
  </w:style>
  <w:style w:type="table" w:styleId="964">
    <w:name w:val="Table Grid Light"/>
    <w:next w:val="964"/>
    <w:link w:val="730"/>
    <w:uiPriority w:val="59"/>
    <w:qFormat/>
    <w:rPr>
      <w:rFonts w:ascii="Calibri" w:hAnsi="Calibri"/>
    </w:rPr>
    <w:tblPr/>
  </w:style>
  <w:style w:type="table" w:styleId="965">
    <w:name w:val="Plain Table 1"/>
    <w:next w:val="965"/>
    <w:link w:val="730"/>
    <w:uiPriority w:val="59"/>
    <w:qFormat/>
    <w:rPr>
      <w:rFonts w:ascii="Calibri" w:hAnsi="Calibri"/>
    </w:rPr>
    <w:tblPr/>
  </w:style>
  <w:style w:type="table" w:styleId="966">
    <w:name w:val="Plain Table 2"/>
    <w:next w:val="966"/>
    <w:link w:val="730"/>
    <w:uiPriority w:val="59"/>
    <w:qFormat/>
    <w:rPr>
      <w:rFonts w:ascii="Calibri" w:hAnsi="Calibri"/>
    </w:rPr>
    <w:tblPr/>
  </w:style>
  <w:style w:type="table" w:styleId="967">
    <w:name w:val="Plain Table 3"/>
    <w:next w:val="967"/>
    <w:link w:val="730"/>
    <w:uiPriority w:val="99"/>
    <w:qFormat/>
    <w:rPr>
      <w:rFonts w:ascii="Calibri" w:hAnsi="Calibri"/>
    </w:rPr>
    <w:tblPr/>
  </w:style>
  <w:style w:type="table" w:styleId="968">
    <w:name w:val="Plain Table 4"/>
    <w:next w:val="968"/>
    <w:link w:val="730"/>
    <w:uiPriority w:val="99"/>
    <w:qFormat/>
    <w:rPr>
      <w:rFonts w:ascii="Calibri" w:hAnsi="Calibri"/>
    </w:rPr>
    <w:tblPr/>
  </w:style>
  <w:style w:type="table" w:styleId="969">
    <w:name w:val="Plain Table 5"/>
    <w:next w:val="969"/>
    <w:link w:val="730"/>
    <w:uiPriority w:val="99"/>
    <w:qFormat/>
    <w:rPr>
      <w:rFonts w:ascii="Calibri" w:hAnsi="Calibri"/>
    </w:rPr>
    <w:tblPr/>
  </w:style>
  <w:style w:type="table" w:styleId="970">
    <w:name w:val="Grid Table 1 Light"/>
    <w:next w:val="970"/>
    <w:link w:val="730"/>
    <w:uiPriority w:val="99"/>
    <w:qFormat/>
    <w:rPr>
      <w:rFonts w:ascii="Calibri" w:hAnsi="Calibri"/>
    </w:rPr>
    <w:tblPr/>
  </w:style>
  <w:style w:type="table" w:styleId="971">
    <w:name w:val="Grid Table 1 Light - Accent 1"/>
    <w:next w:val="971"/>
    <w:link w:val="730"/>
    <w:uiPriority w:val="99"/>
    <w:qFormat/>
    <w:rPr>
      <w:rFonts w:ascii="Calibri" w:hAnsi="Calibri"/>
    </w:rPr>
    <w:tblPr/>
  </w:style>
  <w:style w:type="table" w:styleId="972">
    <w:name w:val="Grid Table 1 Light - Accent 2"/>
    <w:next w:val="972"/>
    <w:link w:val="730"/>
    <w:uiPriority w:val="99"/>
    <w:qFormat/>
    <w:rPr>
      <w:rFonts w:ascii="Calibri" w:hAnsi="Calibri"/>
    </w:rPr>
    <w:tblPr/>
  </w:style>
  <w:style w:type="table" w:styleId="973">
    <w:name w:val="Grid Table 1 Light - Accent 3"/>
    <w:next w:val="973"/>
    <w:link w:val="730"/>
    <w:uiPriority w:val="99"/>
    <w:qFormat/>
    <w:rPr>
      <w:rFonts w:ascii="Calibri" w:hAnsi="Calibri"/>
    </w:rPr>
    <w:tblPr/>
  </w:style>
  <w:style w:type="table" w:styleId="974">
    <w:name w:val="Grid Table 1 Light - Accent 4"/>
    <w:next w:val="974"/>
    <w:link w:val="730"/>
    <w:uiPriority w:val="99"/>
    <w:qFormat/>
    <w:rPr>
      <w:rFonts w:ascii="Calibri" w:hAnsi="Calibri"/>
    </w:rPr>
    <w:tblPr/>
  </w:style>
  <w:style w:type="table" w:styleId="975">
    <w:name w:val="Grid Table 1 Light - Accent 5"/>
    <w:next w:val="975"/>
    <w:link w:val="730"/>
    <w:uiPriority w:val="99"/>
    <w:qFormat/>
    <w:rPr>
      <w:rFonts w:ascii="Calibri" w:hAnsi="Calibri"/>
    </w:rPr>
    <w:tblPr/>
  </w:style>
  <w:style w:type="table" w:styleId="976">
    <w:name w:val="Grid Table 1 Light - Accent 6"/>
    <w:next w:val="976"/>
    <w:link w:val="730"/>
    <w:uiPriority w:val="99"/>
    <w:qFormat/>
    <w:rPr>
      <w:rFonts w:ascii="Calibri" w:hAnsi="Calibri"/>
    </w:rPr>
    <w:tblPr/>
  </w:style>
  <w:style w:type="table" w:styleId="977">
    <w:name w:val="Grid Table 2"/>
    <w:next w:val="977"/>
    <w:link w:val="730"/>
    <w:uiPriority w:val="99"/>
    <w:qFormat/>
    <w:rPr>
      <w:rFonts w:ascii="Calibri" w:hAnsi="Calibri"/>
    </w:rPr>
    <w:tblPr/>
  </w:style>
  <w:style w:type="table" w:styleId="978">
    <w:name w:val="Grid Table 2 - Accent 1"/>
    <w:next w:val="978"/>
    <w:link w:val="730"/>
    <w:uiPriority w:val="99"/>
    <w:qFormat/>
    <w:rPr>
      <w:rFonts w:ascii="Calibri" w:hAnsi="Calibri"/>
    </w:rPr>
    <w:tblPr/>
  </w:style>
  <w:style w:type="table" w:styleId="979">
    <w:name w:val="Grid Table 2 - Accent 2"/>
    <w:next w:val="979"/>
    <w:link w:val="730"/>
    <w:uiPriority w:val="99"/>
    <w:qFormat/>
    <w:rPr>
      <w:rFonts w:ascii="Calibri" w:hAnsi="Calibri"/>
    </w:rPr>
    <w:tblPr/>
  </w:style>
  <w:style w:type="table" w:styleId="980">
    <w:name w:val="Grid Table 2 - Accent 3"/>
    <w:next w:val="980"/>
    <w:link w:val="730"/>
    <w:uiPriority w:val="99"/>
    <w:qFormat/>
    <w:rPr>
      <w:rFonts w:ascii="Calibri" w:hAnsi="Calibri"/>
    </w:rPr>
    <w:tblPr/>
  </w:style>
  <w:style w:type="table" w:styleId="981">
    <w:name w:val="Grid Table 2 - Accent 4"/>
    <w:next w:val="981"/>
    <w:link w:val="730"/>
    <w:uiPriority w:val="99"/>
    <w:qFormat/>
    <w:rPr>
      <w:rFonts w:ascii="Calibri" w:hAnsi="Calibri"/>
    </w:rPr>
    <w:tblPr/>
  </w:style>
  <w:style w:type="table" w:styleId="982">
    <w:name w:val="Grid Table 2 - Accent 5"/>
    <w:next w:val="982"/>
    <w:link w:val="730"/>
    <w:uiPriority w:val="99"/>
    <w:qFormat/>
    <w:rPr>
      <w:rFonts w:ascii="Calibri" w:hAnsi="Calibri"/>
    </w:rPr>
    <w:tblPr/>
  </w:style>
  <w:style w:type="table" w:styleId="983">
    <w:name w:val="Grid Table 2 - Accent 6"/>
    <w:next w:val="983"/>
    <w:link w:val="730"/>
    <w:uiPriority w:val="99"/>
    <w:qFormat/>
    <w:rPr>
      <w:rFonts w:ascii="Calibri" w:hAnsi="Calibri"/>
    </w:rPr>
    <w:tblPr/>
  </w:style>
  <w:style w:type="table" w:styleId="984">
    <w:name w:val="Grid Table 3"/>
    <w:next w:val="984"/>
    <w:link w:val="730"/>
    <w:uiPriority w:val="99"/>
    <w:qFormat/>
    <w:rPr>
      <w:rFonts w:ascii="Calibri" w:hAnsi="Calibri"/>
    </w:rPr>
    <w:tblPr/>
  </w:style>
  <w:style w:type="table" w:styleId="985">
    <w:name w:val="Grid Table 3 - Accent 1"/>
    <w:next w:val="985"/>
    <w:link w:val="730"/>
    <w:uiPriority w:val="99"/>
    <w:qFormat/>
    <w:rPr>
      <w:rFonts w:ascii="Calibri" w:hAnsi="Calibri"/>
    </w:rPr>
    <w:tblPr/>
  </w:style>
  <w:style w:type="table" w:styleId="986">
    <w:name w:val="Grid Table 3 - Accent 2"/>
    <w:next w:val="986"/>
    <w:link w:val="730"/>
    <w:uiPriority w:val="99"/>
    <w:qFormat/>
    <w:rPr>
      <w:rFonts w:ascii="Calibri" w:hAnsi="Calibri"/>
    </w:rPr>
    <w:tblPr/>
  </w:style>
  <w:style w:type="table" w:styleId="987">
    <w:name w:val="Grid Table 3 - Accent 3"/>
    <w:next w:val="987"/>
    <w:link w:val="730"/>
    <w:uiPriority w:val="99"/>
    <w:qFormat/>
    <w:rPr>
      <w:rFonts w:ascii="Calibri" w:hAnsi="Calibri"/>
    </w:rPr>
    <w:tblPr/>
  </w:style>
  <w:style w:type="table" w:styleId="988">
    <w:name w:val="Grid Table 3 - Accent 4"/>
    <w:next w:val="988"/>
    <w:link w:val="730"/>
    <w:uiPriority w:val="99"/>
    <w:qFormat/>
    <w:rPr>
      <w:rFonts w:ascii="Calibri" w:hAnsi="Calibri"/>
    </w:rPr>
    <w:tblPr/>
  </w:style>
  <w:style w:type="table" w:styleId="989">
    <w:name w:val="Grid Table 3 - Accent 5"/>
    <w:next w:val="989"/>
    <w:link w:val="730"/>
    <w:uiPriority w:val="99"/>
    <w:qFormat/>
    <w:rPr>
      <w:rFonts w:ascii="Calibri" w:hAnsi="Calibri"/>
    </w:rPr>
    <w:tblPr/>
  </w:style>
  <w:style w:type="table" w:styleId="990">
    <w:name w:val="Grid Table 3 - Accent 6"/>
    <w:next w:val="990"/>
    <w:link w:val="730"/>
    <w:uiPriority w:val="99"/>
    <w:qFormat/>
    <w:rPr>
      <w:rFonts w:ascii="Calibri" w:hAnsi="Calibri"/>
    </w:rPr>
    <w:tblPr/>
  </w:style>
  <w:style w:type="table" w:styleId="991">
    <w:name w:val="Grid Table 4"/>
    <w:next w:val="991"/>
    <w:link w:val="730"/>
    <w:uiPriority w:val="59"/>
    <w:qFormat/>
    <w:rPr>
      <w:rFonts w:ascii="Calibri" w:hAnsi="Calibri"/>
    </w:rPr>
    <w:tblPr/>
  </w:style>
  <w:style w:type="table" w:styleId="992">
    <w:name w:val="Grid Table 4 - Accent 1"/>
    <w:next w:val="992"/>
    <w:link w:val="730"/>
    <w:uiPriority w:val="59"/>
    <w:qFormat/>
    <w:rPr>
      <w:rFonts w:ascii="Calibri" w:hAnsi="Calibri"/>
    </w:rPr>
    <w:tblPr/>
  </w:style>
  <w:style w:type="table" w:styleId="993">
    <w:name w:val="Grid Table 4 - Accent 2"/>
    <w:next w:val="993"/>
    <w:link w:val="730"/>
    <w:uiPriority w:val="59"/>
    <w:qFormat/>
    <w:rPr>
      <w:rFonts w:ascii="Calibri" w:hAnsi="Calibri"/>
    </w:rPr>
    <w:tblPr/>
  </w:style>
  <w:style w:type="table" w:styleId="994">
    <w:name w:val="Grid Table 4 - Accent 3"/>
    <w:next w:val="994"/>
    <w:link w:val="730"/>
    <w:uiPriority w:val="59"/>
    <w:qFormat/>
    <w:rPr>
      <w:rFonts w:ascii="Calibri" w:hAnsi="Calibri"/>
    </w:rPr>
    <w:tblPr/>
  </w:style>
  <w:style w:type="table" w:styleId="995">
    <w:name w:val="Grid Table 4 - Accent 4"/>
    <w:next w:val="995"/>
    <w:link w:val="730"/>
    <w:uiPriority w:val="59"/>
    <w:qFormat/>
    <w:rPr>
      <w:rFonts w:ascii="Calibri" w:hAnsi="Calibri"/>
    </w:rPr>
    <w:tblPr/>
  </w:style>
  <w:style w:type="table" w:styleId="996">
    <w:name w:val="Grid Table 4 - Accent 5"/>
    <w:next w:val="996"/>
    <w:link w:val="730"/>
    <w:uiPriority w:val="59"/>
    <w:qFormat/>
    <w:rPr>
      <w:rFonts w:ascii="Calibri" w:hAnsi="Calibri"/>
    </w:rPr>
    <w:tblPr/>
  </w:style>
  <w:style w:type="table" w:styleId="997">
    <w:name w:val="Grid Table 4 - Accent 6"/>
    <w:next w:val="997"/>
    <w:link w:val="730"/>
    <w:uiPriority w:val="59"/>
    <w:qFormat/>
    <w:rPr>
      <w:rFonts w:ascii="Calibri" w:hAnsi="Calibri"/>
    </w:rPr>
    <w:tblPr/>
  </w:style>
  <w:style w:type="table" w:styleId="998">
    <w:name w:val="Grid Table 5 Dark"/>
    <w:next w:val="998"/>
    <w:link w:val="730"/>
    <w:uiPriority w:val="99"/>
    <w:qFormat/>
    <w:rPr>
      <w:rFonts w:ascii="Calibri" w:hAnsi="Calibri"/>
    </w:rPr>
    <w:tblPr/>
  </w:style>
  <w:style w:type="table" w:styleId="999">
    <w:name w:val="Grid Table 5 Dark- Accent 1"/>
    <w:next w:val="999"/>
    <w:link w:val="730"/>
    <w:uiPriority w:val="99"/>
    <w:qFormat/>
    <w:rPr>
      <w:rFonts w:ascii="Calibri" w:hAnsi="Calibri"/>
    </w:rPr>
    <w:tblPr/>
  </w:style>
  <w:style w:type="table" w:styleId="1000">
    <w:name w:val="Grid Table 5 Dark - Accent 2"/>
    <w:next w:val="1000"/>
    <w:link w:val="730"/>
    <w:uiPriority w:val="99"/>
    <w:qFormat/>
    <w:rPr>
      <w:rFonts w:ascii="Calibri" w:hAnsi="Calibri"/>
    </w:rPr>
    <w:tblPr/>
  </w:style>
  <w:style w:type="table" w:styleId="1001">
    <w:name w:val="Grid Table 5 Dark - Accent 3"/>
    <w:next w:val="1001"/>
    <w:link w:val="730"/>
    <w:uiPriority w:val="99"/>
    <w:qFormat/>
    <w:rPr>
      <w:rFonts w:ascii="Calibri" w:hAnsi="Calibri"/>
    </w:rPr>
    <w:tblPr/>
  </w:style>
  <w:style w:type="table" w:styleId="1002">
    <w:name w:val="Grid Table 5 Dark- Accent 4"/>
    <w:next w:val="1002"/>
    <w:link w:val="730"/>
    <w:uiPriority w:val="99"/>
    <w:qFormat/>
    <w:rPr>
      <w:rFonts w:ascii="Calibri" w:hAnsi="Calibri"/>
    </w:rPr>
    <w:tblPr/>
  </w:style>
  <w:style w:type="table" w:styleId="1003">
    <w:name w:val="Grid Table 5 Dark - Accent 5"/>
    <w:next w:val="1003"/>
    <w:link w:val="730"/>
    <w:uiPriority w:val="99"/>
    <w:qFormat/>
    <w:rPr>
      <w:rFonts w:ascii="Calibri" w:hAnsi="Calibri"/>
    </w:rPr>
    <w:tblPr/>
  </w:style>
  <w:style w:type="table" w:styleId="1004">
    <w:name w:val="Grid Table 5 Dark - Accent 6"/>
    <w:next w:val="1004"/>
    <w:link w:val="730"/>
    <w:uiPriority w:val="99"/>
    <w:qFormat/>
    <w:rPr>
      <w:rFonts w:ascii="Calibri" w:hAnsi="Calibri"/>
    </w:rPr>
    <w:tblPr/>
  </w:style>
  <w:style w:type="table" w:styleId="1005">
    <w:name w:val="Grid Table 6 Colorful"/>
    <w:next w:val="1005"/>
    <w:link w:val="730"/>
    <w:uiPriority w:val="99"/>
    <w:qFormat/>
    <w:rPr>
      <w:rFonts w:ascii="Calibri" w:hAnsi="Calibri"/>
    </w:rPr>
    <w:tblPr/>
  </w:style>
  <w:style w:type="table" w:styleId="1006">
    <w:name w:val="Grid Table 6 Colorful - Accent 1"/>
    <w:next w:val="1006"/>
    <w:link w:val="730"/>
    <w:uiPriority w:val="99"/>
    <w:qFormat/>
    <w:rPr>
      <w:rFonts w:ascii="Calibri" w:hAnsi="Calibri"/>
    </w:rPr>
    <w:tblPr/>
  </w:style>
  <w:style w:type="table" w:styleId="1007">
    <w:name w:val="Grid Table 6 Colorful - Accent 2"/>
    <w:next w:val="1007"/>
    <w:link w:val="730"/>
    <w:uiPriority w:val="99"/>
    <w:qFormat/>
    <w:rPr>
      <w:rFonts w:ascii="Calibri" w:hAnsi="Calibri"/>
    </w:rPr>
    <w:tblPr/>
  </w:style>
  <w:style w:type="table" w:styleId="1008">
    <w:name w:val="Grid Table 6 Colorful - Accent 3"/>
    <w:next w:val="1008"/>
    <w:link w:val="730"/>
    <w:uiPriority w:val="99"/>
    <w:qFormat/>
    <w:rPr>
      <w:rFonts w:ascii="Calibri" w:hAnsi="Calibri"/>
    </w:rPr>
    <w:tblPr/>
  </w:style>
  <w:style w:type="table" w:styleId="1009">
    <w:name w:val="Grid Table 6 Colorful - Accent 4"/>
    <w:next w:val="1009"/>
    <w:link w:val="730"/>
    <w:uiPriority w:val="99"/>
    <w:qFormat/>
    <w:rPr>
      <w:rFonts w:ascii="Calibri" w:hAnsi="Calibri"/>
    </w:rPr>
    <w:tblPr/>
  </w:style>
  <w:style w:type="table" w:styleId="1010">
    <w:name w:val="Grid Table 6 Colorful - Accent 5"/>
    <w:next w:val="1010"/>
    <w:link w:val="730"/>
    <w:uiPriority w:val="99"/>
    <w:qFormat/>
    <w:rPr>
      <w:rFonts w:ascii="Calibri" w:hAnsi="Calibri"/>
    </w:rPr>
    <w:tblPr/>
  </w:style>
  <w:style w:type="table" w:styleId="1011">
    <w:name w:val="Grid Table 6 Colorful - Accent 6"/>
    <w:next w:val="1011"/>
    <w:link w:val="730"/>
    <w:uiPriority w:val="99"/>
    <w:qFormat/>
    <w:rPr>
      <w:rFonts w:ascii="Calibri" w:hAnsi="Calibri"/>
    </w:rPr>
    <w:tblPr/>
  </w:style>
  <w:style w:type="table" w:styleId="1012">
    <w:name w:val="Grid Table 7 Colorful"/>
    <w:next w:val="1012"/>
    <w:link w:val="730"/>
    <w:uiPriority w:val="99"/>
    <w:qFormat/>
    <w:rPr>
      <w:rFonts w:ascii="Calibri" w:hAnsi="Calibri"/>
    </w:rPr>
    <w:tblPr/>
  </w:style>
  <w:style w:type="table" w:styleId="1013">
    <w:name w:val="Grid Table 7 Colorful - Accent 1"/>
    <w:next w:val="1013"/>
    <w:link w:val="730"/>
    <w:uiPriority w:val="99"/>
    <w:qFormat/>
    <w:rPr>
      <w:rFonts w:ascii="Calibri" w:hAnsi="Calibri"/>
    </w:rPr>
    <w:tblPr/>
  </w:style>
  <w:style w:type="table" w:styleId="1014">
    <w:name w:val="Grid Table 7 Colorful - Accent 2"/>
    <w:next w:val="1014"/>
    <w:link w:val="730"/>
    <w:uiPriority w:val="99"/>
    <w:qFormat/>
    <w:rPr>
      <w:rFonts w:ascii="Calibri" w:hAnsi="Calibri"/>
    </w:rPr>
    <w:tblPr/>
  </w:style>
  <w:style w:type="table" w:styleId="1015">
    <w:name w:val="Grid Table 7 Colorful - Accent 3"/>
    <w:next w:val="1015"/>
    <w:link w:val="730"/>
    <w:uiPriority w:val="99"/>
    <w:qFormat/>
    <w:rPr>
      <w:rFonts w:ascii="Calibri" w:hAnsi="Calibri"/>
    </w:rPr>
    <w:tblPr/>
  </w:style>
  <w:style w:type="table" w:styleId="1016">
    <w:name w:val="Grid Table 7 Colorful - Accent 4"/>
    <w:next w:val="1016"/>
    <w:link w:val="730"/>
    <w:uiPriority w:val="99"/>
    <w:qFormat/>
    <w:rPr>
      <w:rFonts w:ascii="Calibri" w:hAnsi="Calibri"/>
    </w:rPr>
    <w:tblPr/>
  </w:style>
  <w:style w:type="table" w:styleId="1017">
    <w:name w:val="Grid Table 7 Colorful - Accent 5"/>
    <w:next w:val="1017"/>
    <w:link w:val="730"/>
    <w:uiPriority w:val="99"/>
    <w:qFormat/>
    <w:rPr>
      <w:rFonts w:ascii="Calibri" w:hAnsi="Calibri"/>
    </w:rPr>
    <w:tblPr/>
  </w:style>
  <w:style w:type="table" w:styleId="1018">
    <w:name w:val="Grid Table 7 Colorful - Accent 6"/>
    <w:next w:val="1018"/>
    <w:link w:val="730"/>
    <w:uiPriority w:val="99"/>
    <w:qFormat/>
    <w:rPr>
      <w:rFonts w:ascii="Calibri" w:hAnsi="Calibri"/>
    </w:rPr>
    <w:tblPr/>
  </w:style>
  <w:style w:type="table" w:styleId="1019">
    <w:name w:val="List Table 1 Light"/>
    <w:next w:val="1019"/>
    <w:link w:val="730"/>
    <w:uiPriority w:val="99"/>
    <w:qFormat/>
    <w:rPr>
      <w:rFonts w:ascii="Calibri" w:hAnsi="Calibri"/>
    </w:rPr>
    <w:tblPr/>
  </w:style>
  <w:style w:type="table" w:styleId="1020">
    <w:name w:val="List Table 1 Light - Accent 1"/>
    <w:next w:val="1020"/>
    <w:link w:val="730"/>
    <w:uiPriority w:val="99"/>
    <w:qFormat/>
    <w:rPr>
      <w:rFonts w:ascii="Calibri" w:hAnsi="Calibri"/>
    </w:rPr>
    <w:tblPr/>
  </w:style>
  <w:style w:type="table" w:styleId="1021">
    <w:name w:val="List Table 1 Light - Accent 2"/>
    <w:next w:val="1021"/>
    <w:link w:val="730"/>
    <w:uiPriority w:val="99"/>
    <w:qFormat/>
    <w:rPr>
      <w:rFonts w:ascii="Calibri" w:hAnsi="Calibri"/>
    </w:rPr>
    <w:tblPr/>
  </w:style>
  <w:style w:type="table" w:styleId="1022">
    <w:name w:val="List Table 1 Light - Accent 3"/>
    <w:next w:val="1022"/>
    <w:link w:val="730"/>
    <w:uiPriority w:val="99"/>
    <w:qFormat/>
    <w:rPr>
      <w:rFonts w:ascii="Calibri" w:hAnsi="Calibri"/>
    </w:rPr>
    <w:tblPr/>
  </w:style>
  <w:style w:type="table" w:styleId="1023">
    <w:name w:val="List Table 1 Light - Accent 4"/>
    <w:next w:val="1023"/>
    <w:link w:val="730"/>
    <w:uiPriority w:val="99"/>
    <w:qFormat/>
    <w:rPr>
      <w:rFonts w:ascii="Calibri" w:hAnsi="Calibri"/>
    </w:rPr>
    <w:tblPr/>
  </w:style>
  <w:style w:type="table" w:styleId="1024">
    <w:name w:val="List Table 1 Light - Accent 5"/>
    <w:next w:val="1024"/>
    <w:link w:val="730"/>
    <w:uiPriority w:val="99"/>
    <w:qFormat/>
    <w:rPr>
      <w:rFonts w:ascii="Calibri" w:hAnsi="Calibri"/>
    </w:rPr>
    <w:tblPr/>
  </w:style>
  <w:style w:type="table" w:styleId="1025">
    <w:name w:val="List Table 1 Light - Accent 6"/>
    <w:next w:val="1025"/>
    <w:link w:val="730"/>
    <w:uiPriority w:val="99"/>
    <w:qFormat/>
    <w:rPr>
      <w:rFonts w:ascii="Calibri" w:hAnsi="Calibri"/>
    </w:rPr>
    <w:tblPr/>
  </w:style>
  <w:style w:type="table" w:styleId="1026">
    <w:name w:val="List Table 2"/>
    <w:next w:val="1026"/>
    <w:link w:val="730"/>
    <w:uiPriority w:val="99"/>
    <w:qFormat/>
    <w:rPr>
      <w:rFonts w:ascii="Calibri" w:hAnsi="Calibri"/>
    </w:rPr>
    <w:tblPr/>
  </w:style>
  <w:style w:type="table" w:styleId="1027">
    <w:name w:val="List Table 2 - Accent 1"/>
    <w:next w:val="1027"/>
    <w:link w:val="730"/>
    <w:uiPriority w:val="99"/>
    <w:qFormat/>
    <w:rPr>
      <w:rFonts w:ascii="Calibri" w:hAnsi="Calibri"/>
    </w:rPr>
    <w:tblPr/>
  </w:style>
  <w:style w:type="table" w:styleId="1028">
    <w:name w:val="List Table 2 - Accent 2"/>
    <w:next w:val="1028"/>
    <w:link w:val="730"/>
    <w:uiPriority w:val="99"/>
    <w:qFormat/>
    <w:rPr>
      <w:rFonts w:ascii="Calibri" w:hAnsi="Calibri"/>
    </w:rPr>
    <w:tblPr/>
  </w:style>
  <w:style w:type="table" w:styleId="1029">
    <w:name w:val="List Table 2 - Accent 3"/>
    <w:next w:val="1029"/>
    <w:link w:val="730"/>
    <w:uiPriority w:val="99"/>
    <w:qFormat/>
    <w:rPr>
      <w:rFonts w:ascii="Calibri" w:hAnsi="Calibri"/>
    </w:rPr>
    <w:tblPr/>
  </w:style>
  <w:style w:type="table" w:styleId="1030">
    <w:name w:val="List Table 2 - Accent 4"/>
    <w:next w:val="1030"/>
    <w:link w:val="730"/>
    <w:uiPriority w:val="99"/>
    <w:qFormat/>
    <w:rPr>
      <w:rFonts w:ascii="Calibri" w:hAnsi="Calibri"/>
    </w:rPr>
    <w:tblPr/>
  </w:style>
  <w:style w:type="table" w:styleId="1031">
    <w:name w:val="List Table 2 - Accent 5"/>
    <w:next w:val="1031"/>
    <w:link w:val="730"/>
    <w:uiPriority w:val="99"/>
    <w:qFormat/>
    <w:rPr>
      <w:rFonts w:ascii="Calibri" w:hAnsi="Calibri"/>
    </w:rPr>
    <w:tblPr/>
  </w:style>
  <w:style w:type="table" w:styleId="1032">
    <w:name w:val="List Table 2 - Accent 6"/>
    <w:next w:val="1032"/>
    <w:link w:val="730"/>
    <w:uiPriority w:val="99"/>
    <w:qFormat/>
    <w:rPr>
      <w:rFonts w:ascii="Calibri" w:hAnsi="Calibri"/>
    </w:rPr>
    <w:tblPr/>
  </w:style>
  <w:style w:type="table" w:styleId="1033">
    <w:name w:val="List Table 3"/>
    <w:next w:val="1033"/>
    <w:link w:val="730"/>
    <w:uiPriority w:val="99"/>
    <w:qFormat/>
    <w:rPr>
      <w:rFonts w:ascii="Calibri" w:hAnsi="Calibri"/>
    </w:rPr>
    <w:tblPr/>
  </w:style>
  <w:style w:type="table" w:styleId="1034">
    <w:name w:val="List Table 3 - Accent 1"/>
    <w:next w:val="1034"/>
    <w:link w:val="730"/>
    <w:uiPriority w:val="99"/>
    <w:qFormat/>
    <w:rPr>
      <w:rFonts w:ascii="Calibri" w:hAnsi="Calibri"/>
    </w:rPr>
    <w:tblPr/>
  </w:style>
  <w:style w:type="table" w:styleId="1035">
    <w:name w:val="List Table 3 - Accent 2"/>
    <w:next w:val="1035"/>
    <w:link w:val="730"/>
    <w:uiPriority w:val="99"/>
    <w:qFormat/>
    <w:rPr>
      <w:rFonts w:ascii="Calibri" w:hAnsi="Calibri"/>
    </w:rPr>
    <w:tblPr/>
  </w:style>
  <w:style w:type="table" w:styleId="1036">
    <w:name w:val="List Table 3 - Accent 3"/>
    <w:next w:val="1036"/>
    <w:link w:val="730"/>
    <w:uiPriority w:val="99"/>
    <w:qFormat/>
    <w:rPr>
      <w:rFonts w:ascii="Calibri" w:hAnsi="Calibri"/>
    </w:rPr>
    <w:tblPr/>
  </w:style>
  <w:style w:type="table" w:styleId="1037">
    <w:name w:val="List Table 3 - Accent 4"/>
    <w:next w:val="1037"/>
    <w:link w:val="730"/>
    <w:uiPriority w:val="99"/>
    <w:qFormat/>
    <w:rPr>
      <w:rFonts w:ascii="Calibri" w:hAnsi="Calibri"/>
    </w:rPr>
    <w:tblPr/>
  </w:style>
  <w:style w:type="table" w:styleId="1038">
    <w:name w:val="List Table 3 - Accent 5"/>
    <w:next w:val="1038"/>
    <w:link w:val="730"/>
    <w:uiPriority w:val="99"/>
    <w:qFormat/>
    <w:rPr>
      <w:rFonts w:ascii="Calibri" w:hAnsi="Calibri"/>
    </w:rPr>
    <w:tblPr/>
  </w:style>
  <w:style w:type="table" w:styleId="1039">
    <w:name w:val="List Table 3 - Accent 6"/>
    <w:next w:val="1039"/>
    <w:link w:val="730"/>
    <w:uiPriority w:val="99"/>
    <w:qFormat/>
    <w:rPr>
      <w:rFonts w:ascii="Calibri" w:hAnsi="Calibri"/>
    </w:rPr>
    <w:tblPr/>
  </w:style>
  <w:style w:type="table" w:styleId="1040">
    <w:name w:val="List Table 4"/>
    <w:next w:val="1040"/>
    <w:link w:val="730"/>
    <w:uiPriority w:val="99"/>
    <w:qFormat/>
    <w:rPr>
      <w:rFonts w:ascii="Calibri" w:hAnsi="Calibri"/>
    </w:rPr>
    <w:tblPr/>
  </w:style>
  <w:style w:type="table" w:styleId="1041">
    <w:name w:val="List Table 4 - Accent 1"/>
    <w:next w:val="1041"/>
    <w:link w:val="730"/>
    <w:uiPriority w:val="99"/>
    <w:qFormat/>
    <w:rPr>
      <w:rFonts w:ascii="Calibri" w:hAnsi="Calibri"/>
    </w:rPr>
    <w:tblPr/>
  </w:style>
  <w:style w:type="table" w:styleId="1042">
    <w:name w:val="List Table 4 - Accent 2"/>
    <w:next w:val="1042"/>
    <w:link w:val="730"/>
    <w:uiPriority w:val="99"/>
    <w:qFormat/>
    <w:rPr>
      <w:rFonts w:ascii="Calibri" w:hAnsi="Calibri"/>
    </w:rPr>
    <w:tblPr/>
  </w:style>
  <w:style w:type="table" w:styleId="1043">
    <w:name w:val="List Table 4 - Accent 3"/>
    <w:next w:val="1043"/>
    <w:link w:val="730"/>
    <w:uiPriority w:val="99"/>
    <w:qFormat/>
    <w:rPr>
      <w:rFonts w:ascii="Calibri" w:hAnsi="Calibri"/>
    </w:rPr>
    <w:tblPr/>
  </w:style>
  <w:style w:type="table" w:styleId="1044">
    <w:name w:val="List Table 4 - Accent 4"/>
    <w:next w:val="1044"/>
    <w:link w:val="730"/>
    <w:uiPriority w:val="99"/>
    <w:qFormat/>
    <w:rPr>
      <w:rFonts w:ascii="Calibri" w:hAnsi="Calibri"/>
    </w:rPr>
    <w:tblPr/>
  </w:style>
  <w:style w:type="table" w:styleId="1045">
    <w:name w:val="List Table 4 - Accent 5"/>
    <w:next w:val="1045"/>
    <w:link w:val="730"/>
    <w:uiPriority w:val="99"/>
    <w:qFormat/>
    <w:rPr>
      <w:rFonts w:ascii="Calibri" w:hAnsi="Calibri"/>
    </w:rPr>
    <w:tblPr/>
  </w:style>
  <w:style w:type="table" w:styleId="1046">
    <w:name w:val="List Table 4 - Accent 6"/>
    <w:next w:val="1046"/>
    <w:link w:val="730"/>
    <w:uiPriority w:val="99"/>
    <w:qFormat/>
    <w:rPr>
      <w:rFonts w:ascii="Calibri" w:hAnsi="Calibri"/>
    </w:rPr>
    <w:tblPr/>
  </w:style>
  <w:style w:type="table" w:styleId="1047">
    <w:name w:val="List Table 5 Dark"/>
    <w:next w:val="1047"/>
    <w:link w:val="730"/>
    <w:uiPriority w:val="99"/>
    <w:qFormat/>
    <w:rPr>
      <w:rFonts w:ascii="Calibri" w:hAnsi="Calibri"/>
    </w:rPr>
    <w:tblPr/>
  </w:style>
  <w:style w:type="table" w:styleId="1048">
    <w:name w:val="List Table 5 Dark - Accent 1"/>
    <w:next w:val="1048"/>
    <w:link w:val="730"/>
    <w:uiPriority w:val="99"/>
    <w:qFormat/>
    <w:rPr>
      <w:rFonts w:ascii="Calibri" w:hAnsi="Calibri"/>
    </w:rPr>
    <w:tblPr/>
  </w:style>
  <w:style w:type="table" w:styleId="1049">
    <w:name w:val="List Table 5 Dark - Accent 2"/>
    <w:next w:val="1049"/>
    <w:link w:val="730"/>
    <w:uiPriority w:val="99"/>
    <w:qFormat/>
    <w:rPr>
      <w:rFonts w:ascii="Calibri" w:hAnsi="Calibri"/>
    </w:rPr>
    <w:tblPr/>
  </w:style>
  <w:style w:type="table" w:styleId="1050">
    <w:name w:val="List Table 5 Dark - Accent 3"/>
    <w:next w:val="1050"/>
    <w:link w:val="730"/>
    <w:uiPriority w:val="99"/>
    <w:qFormat/>
    <w:rPr>
      <w:rFonts w:ascii="Calibri" w:hAnsi="Calibri"/>
    </w:rPr>
    <w:tblPr/>
  </w:style>
  <w:style w:type="table" w:styleId="1051">
    <w:name w:val="List Table 5 Dark - Accent 4"/>
    <w:next w:val="1051"/>
    <w:link w:val="730"/>
    <w:uiPriority w:val="99"/>
    <w:qFormat/>
    <w:rPr>
      <w:rFonts w:ascii="Calibri" w:hAnsi="Calibri"/>
    </w:rPr>
    <w:tblPr/>
  </w:style>
  <w:style w:type="table" w:styleId="1052">
    <w:name w:val="List Table 5 Dark - Accent 5"/>
    <w:next w:val="1052"/>
    <w:link w:val="730"/>
    <w:uiPriority w:val="99"/>
    <w:qFormat/>
    <w:rPr>
      <w:rFonts w:ascii="Calibri" w:hAnsi="Calibri"/>
    </w:rPr>
    <w:tblPr/>
  </w:style>
  <w:style w:type="table" w:styleId="1053">
    <w:name w:val="List Table 5 Dark - Accent 6"/>
    <w:next w:val="1053"/>
    <w:link w:val="730"/>
    <w:uiPriority w:val="99"/>
    <w:qFormat/>
    <w:rPr>
      <w:rFonts w:ascii="Calibri" w:hAnsi="Calibri"/>
    </w:rPr>
    <w:tblPr/>
  </w:style>
  <w:style w:type="table" w:styleId="1054">
    <w:name w:val="List Table 6 Colorful"/>
    <w:next w:val="1054"/>
    <w:link w:val="730"/>
    <w:uiPriority w:val="99"/>
    <w:qFormat/>
    <w:rPr>
      <w:rFonts w:ascii="Calibri" w:hAnsi="Calibri"/>
    </w:rPr>
    <w:tblPr/>
  </w:style>
  <w:style w:type="table" w:styleId="1055">
    <w:name w:val="List Table 6 Colorful - Accent 1"/>
    <w:next w:val="1055"/>
    <w:link w:val="730"/>
    <w:uiPriority w:val="99"/>
    <w:qFormat/>
    <w:rPr>
      <w:rFonts w:ascii="Calibri" w:hAnsi="Calibri"/>
    </w:rPr>
    <w:tblPr/>
  </w:style>
  <w:style w:type="table" w:styleId="1056">
    <w:name w:val="List Table 6 Colorful - Accent 2"/>
    <w:next w:val="1056"/>
    <w:link w:val="730"/>
    <w:uiPriority w:val="99"/>
    <w:qFormat/>
    <w:rPr>
      <w:rFonts w:ascii="Calibri" w:hAnsi="Calibri"/>
    </w:rPr>
    <w:tblPr/>
  </w:style>
  <w:style w:type="table" w:styleId="1057">
    <w:name w:val="List Table 6 Colorful - Accent 3"/>
    <w:next w:val="1057"/>
    <w:link w:val="730"/>
    <w:uiPriority w:val="99"/>
    <w:qFormat/>
    <w:rPr>
      <w:rFonts w:ascii="Calibri" w:hAnsi="Calibri"/>
    </w:rPr>
    <w:tblPr/>
  </w:style>
  <w:style w:type="table" w:styleId="1058">
    <w:name w:val="List Table 6 Colorful - Accent 4"/>
    <w:next w:val="1058"/>
    <w:link w:val="730"/>
    <w:uiPriority w:val="99"/>
    <w:qFormat/>
    <w:rPr>
      <w:rFonts w:ascii="Calibri" w:hAnsi="Calibri"/>
    </w:rPr>
    <w:tblPr/>
  </w:style>
  <w:style w:type="table" w:styleId="1059">
    <w:name w:val="List Table 6 Colorful - Accent 5"/>
    <w:next w:val="1059"/>
    <w:link w:val="730"/>
    <w:uiPriority w:val="99"/>
    <w:qFormat/>
    <w:rPr>
      <w:rFonts w:ascii="Calibri" w:hAnsi="Calibri"/>
    </w:rPr>
    <w:tblPr/>
  </w:style>
  <w:style w:type="table" w:styleId="1060">
    <w:name w:val="List Table 6 Colorful - Accent 6"/>
    <w:next w:val="1060"/>
    <w:link w:val="730"/>
    <w:uiPriority w:val="99"/>
    <w:qFormat/>
    <w:rPr>
      <w:rFonts w:ascii="Calibri" w:hAnsi="Calibri"/>
    </w:rPr>
    <w:tblPr/>
  </w:style>
  <w:style w:type="table" w:styleId="1061">
    <w:name w:val="List Table 7 Colorful"/>
    <w:next w:val="1061"/>
    <w:link w:val="730"/>
    <w:uiPriority w:val="99"/>
    <w:qFormat/>
    <w:rPr>
      <w:rFonts w:ascii="Calibri" w:hAnsi="Calibri"/>
    </w:rPr>
    <w:tblPr/>
  </w:style>
  <w:style w:type="table" w:styleId="1062">
    <w:name w:val="List Table 7 Colorful - Accent 1"/>
    <w:next w:val="1062"/>
    <w:link w:val="730"/>
    <w:uiPriority w:val="99"/>
    <w:qFormat/>
    <w:rPr>
      <w:rFonts w:ascii="Calibri" w:hAnsi="Calibri"/>
    </w:rPr>
    <w:tblPr/>
  </w:style>
  <w:style w:type="table" w:styleId="1063">
    <w:name w:val="List Table 7 Colorful - Accent 2"/>
    <w:next w:val="1063"/>
    <w:link w:val="730"/>
    <w:uiPriority w:val="99"/>
    <w:qFormat/>
    <w:rPr>
      <w:rFonts w:ascii="Calibri" w:hAnsi="Calibri"/>
    </w:rPr>
    <w:tblPr/>
  </w:style>
  <w:style w:type="table" w:styleId="1064">
    <w:name w:val="List Table 7 Colorful - Accent 3"/>
    <w:next w:val="1064"/>
    <w:link w:val="730"/>
    <w:uiPriority w:val="99"/>
    <w:qFormat/>
    <w:rPr>
      <w:rFonts w:ascii="Calibri" w:hAnsi="Calibri"/>
    </w:rPr>
    <w:tblPr/>
  </w:style>
  <w:style w:type="table" w:styleId="1065">
    <w:name w:val="List Table 7 Colorful - Accent 4"/>
    <w:next w:val="1065"/>
    <w:link w:val="730"/>
    <w:uiPriority w:val="99"/>
    <w:qFormat/>
    <w:rPr>
      <w:rFonts w:ascii="Calibri" w:hAnsi="Calibri"/>
    </w:rPr>
    <w:tblPr/>
  </w:style>
  <w:style w:type="table" w:styleId="1066">
    <w:name w:val="List Table 7 Colorful - Accent 5"/>
    <w:next w:val="1066"/>
    <w:link w:val="730"/>
    <w:uiPriority w:val="99"/>
    <w:qFormat/>
    <w:rPr>
      <w:rFonts w:ascii="Calibri" w:hAnsi="Calibri"/>
    </w:rPr>
    <w:tblPr/>
  </w:style>
  <w:style w:type="table" w:styleId="1067">
    <w:name w:val="List Table 7 Colorful - Accent 6"/>
    <w:next w:val="1067"/>
    <w:link w:val="730"/>
    <w:uiPriority w:val="99"/>
    <w:qFormat/>
    <w:rPr>
      <w:rFonts w:ascii="Calibri" w:hAnsi="Calibri"/>
    </w:rPr>
    <w:tblPr/>
  </w:style>
  <w:style w:type="table" w:styleId="1068">
    <w:name w:val="Lined - Accent"/>
    <w:next w:val="1068"/>
    <w:link w:val="730"/>
    <w:uiPriority w:val="99"/>
    <w:qFormat/>
    <w:rPr>
      <w:rFonts w:ascii="Calibri" w:hAnsi="Calibri"/>
      <w:color w:val="404040"/>
    </w:rPr>
    <w:tblPr/>
  </w:style>
  <w:style w:type="table" w:styleId="1069">
    <w:name w:val="Lined - Accent 1"/>
    <w:next w:val="1069"/>
    <w:link w:val="730"/>
    <w:uiPriority w:val="99"/>
    <w:qFormat/>
    <w:rPr>
      <w:rFonts w:ascii="Calibri" w:hAnsi="Calibri"/>
      <w:color w:val="404040"/>
    </w:rPr>
    <w:tblPr/>
  </w:style>
  <w:style w:type="table" w:styleId="1070">
    <w:name w:val="Lined - Accent 2"/>
    <w:next w:val="1070"/>
    <w:link w:val="730"/>
    <w:uiPriority w:val="99"/>
    <w:qFormat/>
    <w:rPr>
      <w:rFonts w:ascii="Calibri" w:hAnsi="Calibri"/>
      <w:color w:val="404040"/>
    </w:rPr>
    <w:tblPr/>
  </w:style>
  <w:style w:type="table" w:styleId="1071">
    <w:name w:val="Lined - Accent 3"/>
    <w:next w:val="1071"/>
    <w:link w:val="730"/>
    <w:uiPriority w:val="99"/>
    <w:qFormat/>
    <w:rPr>
      <w:rFonts w:ascii="Calibri" w:hAnsi="Calibri"/>
      <w:color w:val="404040"/>
    </w:rPr>
    <w:tblPr/>
  </w:style>
  <w:style w:type="table" w:styleId="1072">
    <w:name w:val="Lined - Accent 4"/>
    <w:next w:val="1072"/>
    <w:link w:val="730"/>
    <w:uiPriority w:val="99"/>
    <w:qFormat/>
    <w:rPr>
      <w:rFonts w:ascii="Calibri" w:hAnsi="Calibri"/>
      <w:color w:val="404040"/>
    </w:rPr>
    <w:tblPr/>
  </w:style>
  <w:style w:type="table" w:styleId="1073">
    <w:name w:val="Lined - Accent 5"/>
    <w:next w:val="1073"/>
    <w:link w:val="730"/>
    <w:uiPriority w:val="99"/>
    <w:qFormat/>
    <w:rPr>
      <w:rFonts w:ascii="Calibri" w:hAnsi="Calibri"/>
      <w:color w:val="404040"/>
    </w:rPr>
    <w:tblPr/>
  </w:style>
  <w:style w:type="table" w:styleId="1074">
    <w:name w:val="Lined - Accent 6"/>
    <w:next w:val="1074"/>
    <w:link w:val="730"/>
    <w:uiPriority w:val="99"/>
    <w:qFormat/>
    <w:rPr>
      <w:rFonts w:ascii="Calibri" w:hAnsi="Calibri"/>
      <w:color w:val="404040"/>
    </w:rPr>
    <w:tblPr/>
  </w:style>
  <w:style w:type="table" w:styleId="1075">
    <w:name w:val="Bordered &amp; Lined - Accent"/>
    <w:next w:val="1075"/>
    <w:link w:val="730"/>
    <w:uiPriority w:val="99"/>
    <w:qFormat/>
    <w:rPr>
      <w:rFonts w:ascii="Calibri" w:hAnsi="Calibri"/>
      <w:color w:val="404040"/>
    </w:rPr>
    <w:tblPr/>
  </w:style>
  <w:style w:type="table" w:styleId="1076">
    <w:name w:val="Bordered &amp; Lined - Accent 1"/>
    <w:next w:val="1076"/>
    <w:link w:val="730"/>
    <w:uiPriority w:val="99"/>
    <w:qFormat/>
    <w:rPr>
      <w:rFonts w:ascii="Calibri" w:hAnsi="Calibri"/>
      <w:color w:val="404040"/>
    </w:rPr>
    <w:tblPr/>
  </w:style>
  <w:style w:type="table" w:styleId="1077">
    <w:name w:val="Bordered &amp; Lined - Accent 2"/>
    <w:next w:val="1077"/>
    <w:link w:val="730"/>
    <w:uiPriority w:val="99"/>
    <w:qFormat/>
    <w:rPr>
      <w:rFonts w:ascii="Calibri" w:hAnsi="Calibri"/>
      <w:color w:val="404040"/>
    </w:rPr>
    <w:tblPr/>
  </w:style>
  <w:style w:type="table" w:styleId="1078">
    <w:name w:val="Bordered &amp; Lined - Accent 3"/>
    <w:next w:val="1078"/>
    <w:link w:val="730"/>
    <w:uiPriority w:val="99"/>
    <w:qFormat/>
    <w:rPr>
      <w:rFonts w:ascii="Calibri" w:hAnsi="Calibri"/>
      <w:color w:val="404040"/>
    </w:rPr>
    <w:tblPr/>
  </w:style>
  <w:style w:type="table" w:styleId="1079">
    <w:name w:val="Bordered &amp; Lined - Accent 4"/>
    <w:next w:val="1079"/>
    <w:link w:val="730"/>
    <w:uiPriority w:val="99"/>
    <w:qFormat/>
    <w:rPr>
      <w:rFonts w:ascii="Calibri" w:hAnsi="Calibri"/>
      <w:color w:val="404040"/>
    </w:rPr>
    <w:tblPr/>
  </w:style>
  <w:style w:type="table" w:styleId="1080">
    <w:name w:val="Bordered &amp; Lined - Accent 5"/>
    <w:next w:val="1080"/>
    <w:link w:val="730"/>
    <w:uiPriority w:val="99"/>
    <w:qFormat/>
    <w:rPr>
      <w:rFonts w:ascii="Calibri" w:hAnsi="Calibri"/>
      <w:color w:val="404040"/>
    </w:rPr>
    <w:tblPr/>
  </w:style>
  <w:style w:type="table" w:styleId="1081">
    <w:name w:val="Bordered &amp; Lined - Accent 6"/>
    <w:next w:val="1081"/>
    <w:link w:val="730"/>
    <w:uiPriority w:val="99"/>
    <w:qFormat/>
    <w:rPr>
      <w:rFonts w:ascii="Calibri" w:hAnsi="Calibri"/>
      <w:color w:val="404040"/>
    </w:rPr>
    <w:tblPr/>
  </w:style>
  <w:style w:type="table" w:styleId="1082">
    <w:name w:val="Bordered"/>
    <w:next w:val="1082"/>
    <w:link w:val="730"/>
    <w:uiPriority w:val="99"/>
    <w:qFormat/>
    <w:rPr>
      <w:rFonts w:ascii="Calibri" w:hAnsi="Calibri"/>
    </w:rPr>
    <w:tblPr/>
  </w:style>
  <w:style w:type="table" w:styleId="1083">
    <w:name w:val="Bordered - Accent 1"/>
    <w:next w:val="1083"/>
    <w:link w:val="730"/>
    <w:uiPriority w:val="99"/>
    <w:qFormat/>
    <w:rPr>
      <w:rFonts w:ascii="Calibri" w:hAnsi="Calibri"/>
    </w:rPr>
    <w:tblPr/>
  </w:style>
  <w:style w:type="table" w:styleId="1084">
    <w:name w:val="Bordered - Accent 2"/>
    <w:next w:val="1084"/>
    <w:link w:val="730"/>
    <w:uiPriority w:val="99"/>
    <w:qFormat/>
    <w:rPr>
      <w:rFonts w:ascii="Calibri" w:hAnsi="Calibri"/>
    </w:rPr>
    <w:tblPr/>
  </w:style>
  <w:style w:type="table" w:styleId="1085">
    <w:name w:val="Bordered - Accent 3"/>
    <w:next w:val="1085"/>
    <w:link w:val="730"/>
    <w:uiPriority w:val="99"/>
    <w:qFormat/>
    <w:rPr>
      <w:rFonts w:ascii="Calibri" w:hAnsi="Calibri"/>
    </w:rPr>
    <w:tblPr/>
  </w:style>
  <w:style w:type="table" w:styleId="1086">
    <w:name w:val="Bordered - Accent 4"/>
    <w:next w:val="1086"/>
    <w:link w:val="730"/>
    <w:uiPriority w:val="99"/>
    <w:qFormat/>
    <w:rPr>
      <w:rFonts w:ascii="Calibri" w:hAnsi="Calibri"/>
    </w:rPr>
    <w:tblPr/>
  </w:style>
  <w:style w:type="table" w:styleId="1087">
    <w:name w:val="Bordered - Accent 5"/>
    <w:next w:val="1087"/>
    <w:link w:val="730"/>
    <w:uiPriority w:val="99"/>
    <w:qFormat/>
    <w:rPr>
      <w:rFonts w:ascii="Calibri" w:hAnsi="Calibri"/>
    </w:rPr>
    <w:tblPr/>
  </w:style>
  <w:style w:type="table" w:styleId="1088">
    <w:name w:val="Bordered - Accent 6"/>
    <w:next w:val="1088"/>
    <w:link w:val="730"/>
    <w:uiPriority w:val="99"/>
    <w:qFormat/>
    <w:rPr>
      <w:rFonts w:ascii="Calibri" w:hAnsi="Calibri"/>
    </w:rPr>
    <w:tblPr/>
  </w:style>
  <w:style w:type="paragraph" w:styleId="1089">
    <w:name w:val="TOC 标题11"/>
    <w:next w:val="1089"/>
    <w:link w:val="730"/>
    <w:uiPriority w:val="39"/>
    <w:unhideWhenUsed/>
    <w:qFormat/>
    <w:rPr>
      <w:rFonts w:ascii="Calibri" w:hAnsi="Calibri" w:eastAsia="宋体" w:cs="Times New Roman"/>
      <w:lang w:val="en-US" w:eastAsia="zh-CN" w:bidi="ar-SA"/>
    </w:rPr>
  </w:style>
  <w:style w:type="paragraph" w:styleId="1090">
    <w:name w:val="标题 11"/>
    <w:basedOn w:val="730"/>
    <w:next w:val="730"/>
    <w:link w:val="1091"/>
    <w:qFormat/>
    <w:pPr>
      <w:jc w:val="center"/>
      <w:keepNext/>
      <w:outlineLvl w:val="0"/>
    </w:pPr>
    <w:rPr>
      <w:rFonts w:ascii="楷体_GB2312" w:hAnsi="Times New Roman" w:eastAsia="楷体_GB2312"/>
      <w:sz w:val="28"/>
      <w:szCs w:val="28"/>
      <w:lang w:eastAsia="en-US"/>
    </w:rPr>
  </w:style>
  <w:style w:type="character" w:styleId="1091">
    <w:name w:val="标题 1 Char"/>
    <w:next w:val="1091"/>
    <w:link w:val="1090"/>
    <w:qFormat/>
    <w:rPr>
      <w:rFonts w:ascii="楷体_GB2312" w:hAnsi="Times New Roman" w:eastAsia="楷体_GB2312" w:cs="Times New Roman"/>
      <w:sz w:val="28"/>
      <w:szCs w:val="28"/>
      <w:lang w:eastAsia="en-US"/>
    </w:rPr>
  </w:style>
  <w:style w:type="paragraph" w:styleId="1092">
    <w:name w:val="标题 21"/>
    <w:basedOn w:val="730"/>
    <w:next w:val="1094"/>
    <w:link w:val="1093"/>
    <w:qFormat/>
    <w:pPr>
      <w:jc w:val="center"/>
      <w:keepLines/>
      <w:keepNext/>
      <w:spacing w:before="260" w:after="260" w:line="416" w:lineRule="auto"/>
      <w:outlineLvl w:val="1"/>
    </w:pPr>
    <w:rPr>
      <w:rFonts w:ascii="Arial" w:hAnsi="Arial" w:eastAsia="幼圆"/>
      <w:b/>
      <w:bCs/>
      <w:sz w:val="44"/>
      <w:szCs w:val="44"/>
      <w:lang w:eastAsia="en-US"/>
    </w:rPr>
  </w:style>
  <w:style w:type="character" w:styleId="1093">
    <w:name w:val="标题 2 Char"/>
    <w:next w:val="1093"/>
    <w:link w:val="1092"/>
    <w:qFormat/>
    <w:rPr>
      <w:rFonts w:ascii="Arial" w:hAnsi="Arial" w:eastAsia="幼圆" w:cs="Times New Roman"/>
      <w:b/>
      <w:bCs/>
      <w:sz w:val="44"/>
      <w:szCs w:val="44"/>
      <w:lang w:eastAsia="en-US"/>
    </w:rPr>
  </w:style>
  <w:style w:type="paragraph" w:styleId="1094">
    <w:name w:val="正文缩进1"/>
    <w:basedOn w:val="730"/>
    <w:next w:val="1094"/>
    <w:link w:val="1095"/>
    <w:qFormat/>
    <w:pPr>
      <w:ind w:firstLine="420"/>
    </w:pPr>
    <w:rPr>
      <w:rFonts w:ascii="Times New Roman" w:hAnsi="Times New Roman" w:eastAsia="宋体"/>
      <w:sz w:val="20"/>
      <w:szCs w:val="21"/>
      <w:lang w:eastAsia="en-US"/>
    </w:rPr>
  </w:style>
  <w:style w:type="character" w:styleId="1095">
    <w:name w:val="正文缩进 Char"/>
    <w:next w:val="1095"/>
    <w:link w:val="1094"/>
    <w:qFormat/>
    <w:rPr>
      <w:rFonts w:ascii="Times New Roman" w:hAnsi="Times New Roman" w:eastAsia="宋体" w:cs="Times New Roman"/>
      <w:szCs w:val="21"/>
      <w:lang w:eastAsia="en-US"/>
    </w:rPr>
  </w:style>
  <w:style w:type="paragraph" w:styleId="1096">
    <w:name w:val="标题 41"/>
    <w:basedOn w:val="730"/>
    <w:next w:val="1094"/>
    <w:link w:val="1097"/>
    <w:qFormat/>
    <w:pPr>
      <w:keepLines/>
      <w:keepNext/>
      <w:spacing w:before="280" w:after="290" w:line="376" w:lineRule="auto"/>
      <w:outlineLvl w:val="3"/>
    </w:pPr>
    <w:rPr>
      <w:rFonts w:ascii="Arial" w:hAnsi="Arial" w:eastAsia="黑体"/>
      <w:b/>
      <w:bCs/>
      <w:sz w:val="28"/>
      <w:szCs w:val="28"/>
      <w:lang w:eastAsia="en-US"/>
    </w:rPr>
  </w:style>
  <w:style w:type="character" w:styleId="1097">
    <w:name w:val="标题 4 Char"/>
    <w:next w:val="1097"/>
    <w:link w:val="1096"/>
    <w:qFormat/>
    <w:rPr>
      <w:rFonts w:ascii="Arial" w:hAnsi="Arial" w:eastAsia="黑体" w:cs="Times New Roman"/>
      <w:b/>
      <w:bCs/>
      <w:sz w:val="28"/>
      <w:szCs w:val="28"/>
      <w:lang w:eastAsia="en-US"/>
    </w:rPr>
  </w:style>
  <w:style w:type="paragraph" w:styleId="1098">
    <w:name w:val="标题 51"/>
    <w:basedOn w:val="730"/>
    <w:next w:val="1094"/>
    <w:link w:val="1099"/>
    <w:qFormat/>
    <w:pPr>
      <w:keepNext/>
      <w:outlineLvl w:val="4"/>
    </w:pPr>
    <w:rPr>
      <w:rFonts w:ascii="宋体" w:hAnsi="Times New Roman" w:eastAsia="宋体"/>
      <w:color w:val="000000"/>
      <w:sz w:val="28"/>
      <w:szCs w:val="28"/>
      <w:lang w:eastAsia="en-US"/>
    </w:rPr>
  </w:style>
  <w:style w:type="character" w:styleId="1099">
    <w:name w:val="标题 5 Char"/>
    <w:next w:val="1099"/>
    <w:link w:val="1098"/>
    <w:qFormat/>
    <w:rPr>
      <w:rFonts w:ascii="宋体" w:hAnsi="Times New Roman" w:eastAsia="宋体" w:cs="Times New Roman"/>
      <w:color w:val="000000"/>
      <w:sz w:val="28"/>
      <w:szCs w:val="28"/>
      <w:lang w:eastAsia="en-US"/>
    </w:rPr>
  </w:style>
  <w:style w:type="paragraph" w:styleId="1100">
    <w:name w:val="标题 61"/>
    <w:basedOn w:val="730"/>
    <w:next w:val="730"/>
    <w:link w:val="1101"/>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01">
    <w:name w:val="标题 6 Char"/>
    <w:next w:val="1101"/>
    <w:link w:val="1100"/>
    <w:qFormat/>
    <w:rPr>
      <w:rFonts w:ascii="Arial" w:hAnsi="Arial" w:eastAsia="黑体" w:cs="Times New Roman"/>
      <w:b/>
      <w:bCs/>
      <w:sz w:val="24"/>
      <w:szCs w:val="24"/>
      <w:lang w:eastAsia="en-US"/>
    </w:rPr>
  </w:style>
  <w:style w:type="paragraph" w:styleId="1102">
    <w:name w:val="标题 71"/>
    <w:basedOn w:val="730"/>
    <w:next w:val="730"/>
    <w:link w:val="1103"/>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03">
    <w:name w:val="标题 7 Char"/>
    <w:next w:val="1103"/>
    <w:link w:val="1102"/>
    <w:qFormat/>
    <w:rPr>
      <w:rFonts w:ascii="Times New Roman" w:hAnsi="Times New Roman" w:eastAsia="宋体" w:cs="Times New Roman"/>
      <w:b/>
      <w:bCs/>
      <w:sz w:val="24"/>
      <w:szCs w:val="24"/>
      <w:lang w:eastAsia="en-US"/>
    </w:rPr>
  </w:style>
  <w:style w:type="paragraph" w:styleId="1104">
    <w:name w:val="标题 81"/>
    <w:basedOn w:val="730"/>
    <w:next w:val="730"/>
    <w:link w:val="1105"/>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05">
    <w:name w:val="标题 8 Char"/>
    <w:next w:val="1105"/>
    <w:link w:val="1104"/>
    <w:qFormat/>
    <w:rPr>
      <w:rFonts w:ascii="Arial" w:hAnsi="Arial" w:eastAsia="黑体" w:cs="Times New Roman"/>
      <w:sz w:val="24"/>
      <w:szCs w:val="24"/>
      <w:lang w:eastAsia="en-US"/>
    </w:rPr>
  </w:style>
  <w:style w:type="paragraph" w:styleId="1106">
    <w:name w:val="标题 91"/>
    <w:basedOn w:val="730"/>
    <w:next w:val="730"/>
    <w:link w:val="1107"/>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07">
    <w:name w:val="标题 9 Char"/>
    <w:next w:val="1107"/>
    <w:link w:val="1106"/>
    <w:qFormat/>
    <w:rPr>
      <w:rFonts w:ascii="Arial" w:hAnsi="Arial" w:eastAsia="黑体" w:cs="Times New Roman"/>
      <w:szCs w:val="21"/>
      <w:lang w:eastAsia="en-US"/>
    </w:rPr>
  </w:style>
  <w:style w:type="character" w:styleId="1108">
    <w:name w:val="默认段落字体1"/>
    <w:next w:val="1108"/>
    <w:link w:val="730"/>
    <w:uiPriority w:val="1"/>
    <w:unhideWhenUsed/>
    <w:qFormat/>
  </w:style>
  <w:style w:type="table" w:styleId="1109">
    <w:name w:val="普通表格1"/>
    <w:next w:val="1109"/>
    <w:link w:val="730"/>
    <w:uiPriority w:val="99"/>
    <w:unhideWhenUsed/>
    <w:qFormat/>
    <w:rPr>
      <w:rFonts w:ascii="Calibri" w:hAnsi="Calibri"/>
    </w:rPr>
    <w:tblPr/>
  </w:style>
  <w:style w:type="paragraph" w:styleId="1110">
    <w:name w:val="列表 31"/>
    <w:basedOn w:val="730"/>
    <w:next w:val="1110"/>
    <w:link w:val="730"/>
    <w:qFormat/>
    <w:pPr>
      <w:ind w:left="100" w:hanging="200"/>
    </w:pPr>
    <w:rPr>
      <w:rFonts w:ascii="Times New Roman" w:hAnsi="Times New Roman" w:eastAsia="宋体"/>
      <w:szCs w:val="21"/>
    </w:rPr>
  </w:style>
  <w:style w:type="paragraph" w:styleId="1111">
    <w:name w:val="目录 711"/>
    <w:basedOn w:val="730"/>
    <w:next w:val="730"/>
    <w:link w:val="730"/>
    <w:semiHidden/>
    <w:qFormat/>
    <w:pPr>
      <w:ind w:left="1260"/>
      <w:jc w:val="left"/>
    </w:pPr>
    <w:rPr>
      <w:rFonts w:ascii="Times New Roman" w:hAnsi="Times New Roman" w:eastAsia="宋体"/>
      <w:szCs w:val="21"/>
    </w:rPr>
  </w:style>
  <w:style w:type="paragraph" w:styleId="1112">
    <w:name w:val="文档结构图1"/>
    <w:basedOn w:val="730"/>
    <w:next w:val="1112"/>
    <w:link w:val="1113"/>
    <w:semiHidden/>
    <w:qFormat/>
    <w:pPr>
      <w:shd w:val="clear" w:color="auto" w:fill="000080"/>
    </w:pPr>
    <w:rPr>
      <w:rFonts w:ascii="Times New Roman" w:hAnsi="Times New Roman" w:eastAsia="宋体"/>
      <w:sz w:val="20"/>
      <w:szCs w:val="21"/>
      <w:lang w:eastAsia="en-US"/>
    </w:rPr>
  </w:style>
  <w:style w:type="character" w:styleId="1113">
    <w:name w:val="文档结构图 Char"/>
    <w:next w:val="1113"/>
    <w:link w:val="1112"/>
    <w:semiHidden/>
    <w:qFormat/>
    <w:rPr>
      <w:rFonts w:ascii="Times New Roman" w:hAnsi="Times New Roman" w:eastAsia="宋体" w:cs="Times New Roman"/>
      <w:szCs w:val="21"/>
      <w:shd w:val="clear" w:color="auto" w:fill="000080"/>
      <w:lang w:eastAsia="en-US"/>
    </w:rPr>
  </w:style>
  <w:style w:type="paragraph" w:styleId="1114">
    <w:name w:val="批注文字1"/>
    <w:basedOn w:val="730"/>
    <w:next w:val="1114"/>
    <w:link w:val="1115"/>
    <w:semiHidden/>
    <w:qFormat/>
    <w:pPr>
      <w:jc w:val="left"/>
    </w:pPr>
    <w:rPr>
      <w:rFonts w:ascii="Times New Roman" w:hAnsi="Times New Roman" w:eastAsia="宋体"/>
      <w:sz w:val="20"/>
      <w:szCs w:val="21"/>
      <w:lang w:eastAsia="en-US"/>
    </w:rPr>
  </w:style>
  <w:style w:type="character" w:styleId="1115">
    <w:name w:val="批注文字 Char"/>
    <w:next w:val="1115"/>
    <w:link w:val="1114"/>
    <w:semiHidden/>
    <w:qFormat/>
    <w:rPr>
      <w:rFonts w:ascii="Times New Roman" w:hAnsi="Times New Roman" w:eastAsia="宋体" w:cs="Times New Roman"/>
      <w:szCs w:val="21"/>
      <w:lang w:eastAsia="en-US"/>
    </w:rPr>
  </w:style>
  <w:style w:type="paragraph" w:styleId="1116">
    <w:name w:val="正文文本 31"/>
    <w:basedOn w:val="730"/>
    <w:next w:val="1116"/>
    <w:link w:val="1117"/>
    <w:qFormat/>
    <w:rPr>
      <w:rFonts w:ascii="仿宋_GB2312" w:hAnsi="Arial" w:eastAsia="仿宋_GB2312"/>
      <w:sz w:val="32"/>
      <w:szCs w:val="32"/>
      <w:lang w:eastAsia="en-US"/>
    </w:rPr>
  </w:style>
  <w:style w:type="character" w:styleId="1117">
    <w:name w:val="正文文本 3 Char"/>
    <w:next w:val="1117"/>
    <w:link w:val="1116"/>
    <w:qFormat/>
    <w:rPr>
      <w:rFonts w:ascii="仿宋_GB2312" w:hAnsi="Arial" w:eastAsia="仿宋_GB2312" w:cs="Times New Roman"/>
      <w:sz w:val="32"/>
      <w:szCs w:val="32"/>
      <w:lang w:eastAsia="en-US"/>
    </w:rPr>
  </w:style>
  <w:style w:type="paragraph" w:styleId="1118">
    <w:name w:val="正文文本1"/>
    <w:basedOn w:val="730"/>
    <w:next w:val="1118"/>
    <w:link w:val="1119"/>
    <w:qFormat/>
    <w:rPr>
      <w:rFonts w:ascii="楷体_GB2312" w:hAnsi="Arial" w:eastAsia="楷体_GB2312"/>
      <w:sz w:val="28"/>
      <w:szCs w:val="28"/>
      <w:lang w:eastAsia="en-US"/>
    </w:rPr>
  </w:style>
  <w:style w:type="character" w:styleId="1119">
    <w:name w:val="正文文本 Char"/>
    <w:next w:val="1119"/>
    <w:link w:val="1118"/>
    <w:qFormat/>
    <w:rPr>
      <w:rFonts w:ascii="楷体_GB2312" w:hAnsi="Arial" w:eastAsia="楷体_GB2312" w:cs="Times New Roman"/>
      <w:sz w:val="28"/>
      <w:szCs w:val="28"/>
      <w:lang w:eastAsia="en-US"/>
    </w:rPr>
  </w:style>
  <w:style w:type="paragraph" w:styleId="1120">
    <w:name w:val="正文文本缩进1"/>
    <w:basedOn w:val="730"/>
    <w:next w:val="1122"/>
    <w:link w:val="1121"/>
    <w:qFormat/>
    <w:pPr>
      <w:ind w:firstLine="645"/>
    </w:pPr>
    <w:rPr>
      <w:rFonts w:ascii="楷体_GB2312" w:hAnsi="Times New Roman" w:eastAsia="楷体_GB2312"/>
      <w:sz w:val="32"/>
      <w:szCs w:val="32"/>
      <w:lang w:eastAsia="en-US"/>
    </w:rPr>
  </w:style>
  <w:style w:type="character" w:styleId="1121">
    <w:name w:val="正文文本缩进 Char"/>
    <w:next w:val="1121"/>
    <w:link w:val="1120"/>
    <w:qFormat/>
    <w:rPr>
      <w:rFonts w:ascii="楷体_GB2312" w:hAnsi="Times New Roman" w:eastAsia="楷体_GB2312" w:cs="Times New Roman"/>
      <w:sz w:val="32"/>
      <w:szCs w:val="32"/>
      <w:lang w:eastAsia="en-US"/>
    </w:rPr>
  </w:style>
  <w:style w:type="paragraph" w:styleId="1122">
    <w:name w:val="寄信人地址1"/>
    <w:basedOn w:val="730"/>
    <w:next w:val="1122"/>
    <w:link w:val="730"/>
    <w:uiPriority w:val="99"/>
    <w:unhideWhenUsed/>
    <w:qFormat/>
    <w:rPr>
      <w:rFonts w:ascii="Arial" w:hAnsi="Arial"/>
    </w:rPr>
  </w:style>
  <w:style w:type="paragraph" w:styleId="1123">
    <w:name w:val="列表 21"/>
    <w:basedOn w:val="730"/>
    <w:next w:val="1123"/>
    <w:link w:val="730"/>
    <w:qFormat/>
    <w:pPr>
      <w:ind w:left="100" w:hanging="200"/>
    </w:pPr>
    <w:rPr>
      <w:rFonts w:ascii="Times New Roman" w:hAnsi="Times New Roman" w:eastAsia="宋体"/>
      <w:szCs w:val="21"/>
    </w:rPr>
  </w:style>
  <w:style w:type="paragraph" w:styleId="1124">
    <w:name w:val="目录 511"/>
    <w:basedOn w:val="730"/>
    <w:next w:val="730"/>
    <w:link w:val="730"/>
    <w:semiHidden/>
    <w:qFormat/>
    <w:pPr>
      <w:ind w:left="840"/>
      <w:jc w:val="left"/>
    </w:pPr>
    <w:rPr>
      <w:rFonts w:ascii="Times New Roman" w:hAnsi="Times New Roman" w:eastAsia="宋体"/>
      <w:szCs w:val="21"/>
    </w:rPr>
  </w:style>
  <w:style w:type="paragraph" w:styleId="1125">
    <w:name w:val="目录 311"/>
    <w:basedOn w:val="730"/>
    <w:next w:val="730"/>
    <w:link w:val="730"/>
    <w:semiHidden/>
    <w:qFormat/>
    <w:pPr>
      <w:ind w:left="420"/>
      <w:jc w:val="left"/>
    </w:pPr>
    <w:rPr>
      <w:rFonts w:ascii="Times New Roman" w:hAnsi="Times New Roman" w:eastAsia="宋体"/>
      <w:i/>
      <w:iCs/>
      <w:szCs w:val="24"/>
    </w:rPr>
  </w:style>
  <w:style w:type="paragraph" w:styleId="1126">
    <w:name w:val="纯文本1"/>
    <w:basedOn w:val="730"/>
    <w:next w:val="1126"/>
    <w:link w:val="1127"/>
    <w:qFormat/>
    <w:rPr>
      <w:rFonts w:ascii="宋体" w:hAnsi="Courier New" w:eastAsia="宋体"/>
      <w:sz w:val="20"/>
      <w:szCs w:val="21"/>
      <w:lang w:eastAsia="en-US"/>
    </w:rPr>
  </w:style>
  <w:style w:type="character" w:styleId="1127">
    <w:name w:val="纯文本 Char"/>
    <w:next w:val="1127"/>
    <w:link w:val="1126"/>
    <w:qFormat/>
    <w:rPr>
      <w:rFonts w:ascii="宋体" w:hAnsi="Courier New" w:eastAsia="宋体" w:cs="Times New Roman"/>
      <w:szCs w:val="21"/>
      <w:lang w:eastAsia="en-US"/>
    </w:rPr>
  </w:style>
  <w:style w:type="paragraph" w:styleId="1128">
    <w:name w:val="目录 811"/>
    <w:basedOn w:val="730"/>
    <w:next w:val="730"/>
    <w:link w:val="730"/>
    <w:semiHidden/>
    <w:qFormat/>
    <w:pPr>
      <w:ind w:left="1470"/>
      <w:jc w:val="left"/>
    </w:pPr>
    <w:rPr>
      <w:rFonts w:ascii="Times New Roman" w:hAnsi="Times New Roman" w:eastAsia="宋体"/>
      <w:szCs w:val="21"/>
    </w:rPr>
  </w:style>
  <w:style w:type="paragraph" w:styleId="1129">
    <w:name w:val="日期1"/>
    <w:basedOn w:val="730"/>
    <w:next w:val="730"/>
    <w:link w:val="1130"/>
    <w:qFormat/>
    <w:rPr>
      <w:rFonts w:ascii="Times New Roman" w:hAnsi="Times New Roman" w:eastAsia="宋体"/>
      <w:sz w:val="24"/>
      <w:szCs w:val="24"/>
      <w:lang w:eastAsia="en-US"/>
    </w:rPr>
  </w:style>
  <w:style w:type="character" w:styleId="1130">
    <w:name w:val="日期 Char"/>
    <w:next w:val="1130"/>
    <w:link w:val="1129"/>
    <w:qFormat/>
    <w:rPr>
      <w:rFonts w:ascii="Times New Roman" w:hAnsi="Times New Roman" w:eastAsia="宋体" w:cs="Times New Roman"/>
      <w:sz w:val="24"/>
      <w:szCs w:val="24"/>
      <w:lang w:eastAsia="en-US"/>
    </w:rPr>
  </w:style>
  <w:style w:type="paragraph" w:styleId="1131">
    <w:name w:val="正文文本缩进 21"/>
    <w:basedOn w:val="730"/>
    <w:next w:val="1131"/>
    <w:link w:val="1132"/>
    <w:qFormat/>
    <w:pPr>
      <w:ind w:left="630" w:firstLine="645"/>
    </w:pPr>
    <w:rPr>
      <w:rFonts w:ascii="Arial" w:hAnsi="Arial" w:eastAsia="仿宋_GB2312"/>
      <w:sz w:val="32"/>
      <w:szCs w:val="32"/>
      <w:lang w:eastAsia="en-US"/>
    </w:rPr>
  </w:style>
  <w:style w:type="character" w:styleId="1132">
    <w:name w:val="正文文本缩进 2 Char"/>
    <w:next w:val="1132"/>
    <w:link w:val="1131"/>
    <w:qFormat/>
    <w:rPr>
      <w:rFonts w:ascii="Arial" w:hAnsi="Arial" w:eastAsia="仿宋_GB2312" w:cs="Times New Roman"/>
      <w:sz w:val="32"/>
      <w:szCs w:val="32"/>
      <w:lang w:eastAsia="en-US"/>
    </w:rPr>
  </w:style>
  <w:style w:type="paragraph" w:styleId="1133">
    <w:name w:val="批注框文本1"/>
    <w:basedOn w:val="730"/>
    <w:next w:val="1133"/>
    <w:link w:val="1134"/>
    <w:semiHidden/>
    <w:qFormat/>
    <w:rPr>
      <w:rFonts w:ascii="Times New Roman" w:hAnsi="Times New Roman" w:eastAsia="宋体"/>
      <w:sz w:val="18"/>
      <w:szCs w:val="18"/>
      <w:lang w:eastAsia="en-US"/>
    </w:rPr>
  </w:style>
  <w:style w:type="character" w:styleId="1134">
    <w:name w:val="批注框文本 Char"/>
    <w:next w:val="1134"/>
    <w:link w:val="1133"/>
    <w:semiHidden/>
    <w:qFormat/>
    <w:rPr>
      <w:rFonts w:ascii="Times New Roman" w:hAnsi="Times New Roman" w:eastAsia="宋体" w:cs="Times New Roman"/>
      <w:sz w:val="18"/>
      <w:szCs w:val="18"/>
      <w:lang w:eastAsia="en-US"/>
    </w:rPr>
  </w:style>
  <w:style w:type="paragraph" w:styleId="1135">
    <w:name w:val="页脚1"/>
    <w:basedOn w:val="730"/>
    <w:next w:val="1135"/>
    <w:link w:val="1136"/>
    <w:qFormat/>
    <w:pPr>
      <w:jc w:val="left"/>
      <w:tabs>
        <w:tab w:val="center" w:pos="4153" w:leader="none"/>
        <w:tab w:val="right" w:pos="8306" w:leader="none"/>
      </w:tabs>
    </w:pPr>
    <w:rPr>
      <w:rFonts w:ascii="Times New Roman" w:hAnsi="Times New Roman" w:eastAsia="宋体"/>
      <w:sz w:val="18"/>
      <w:szCs w:val="18"/>
      <w:lang w:eastAsia="en-US"/>
    </w:rPr>
  </w:style>
  <w:style w:type="character" w:styleId="1136">
    <w:name w:val="页脚 Char"/>
    <w:next w:val="1136"/>
    <w:link w:val="1135"/>
    <w:qFormat/>
    <w:rPr>
      <w:rFonts w:ascii="Times New Roman" w:hAnsi="Times New Roman" w:eastAsia="宋体" w:cs="Times New Roman"/>
      <w:sz w:val="18"/>
      <w:szCs w:val="18"/>
      <w:lang w:eastAsia="en-US"/>
    </w:rPr>
  </w:style>
  <w:style w:type="paragraph" w:styleId="1137">
    <w:name w:val="页眉1"/>
    <w:basedOn w:val="730"/>
    <w:next w:val="1137"/>
    <w:link w:val="113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38">
    <w:name w:val="页眉 Char"/>
    <w:next w:val="1138"/>
    <w:link w:val="1137"/>
    <w:uiPriority w:val="99"/>
    <w:qFormat/>
    <w:rPr>
      <w:rFonts w:ascii="Times New Roman" w:hAnsi="Times New Roman" w:eastAsia="宋体" w:cs="Times New Roman"/>
      <w:sz w:val="18"/>
      <w:szCs w:val="18"/>
      <w:lang w:eastAsia="en-US"/>
    </w:rPr>
  </w:style>
  <w:style w:type="paragraph" w:styleId="1139">
    <w:name w:val="目录 1111"/>
    <w:basedOn w:val="730"/>
    <w:next w:val="730"/>
    <w:link w:val="730"/>
    <w:semiHidden/>
    <w:qFormat/>
    <w:pPr>
      <w:jc w:val="left"/>
      <w:spacing w:before="120" w:after="120" w:line="400" w:lineRule="exact"/>
      <w:tabs>
        <w:tab w:val="right" w:pos="8720" w:leader="dot"/>
      </w:tabs>
    </w:pPr>
    <w:rPr>
      <w:rFonts w:ascii="宋体" w:hAnsi="宋体" w:eastAsia="宋体"/>
      <w:caps/>
      <w:sz w:val="24"/>
      <w:szCs w:val="24"/>
    </w:rPr>
  </w:style>
  <w:style w:type="paragraph" w:styleId="1140">
    <w:name w:val="目录 411"/>
    <w:basedOn w:val="730"/>
    <w:next w:val="730"/>
    <w:link w:val="730"/>
    <w:semiHidden/>
    <w:qFormat/>
    <w:pPr>
      <w:ind w:left="630"/>
      <w:jc w:val="left"/>
    </w:pPr>
    <w:rPr>
      <w:rFonts w:ascii="Times New Roman" w:hAnsi="Times New Roman" w:eastAsia="宋体"/>
      <w:szCs w:val="21"/>
    </w:rPr>
  </w:style>
  <w:style w:type="paragraph" w:styleId="1141">
    <w:name w:val="列表1"/>
    <w:basedOn w:val="730"/>
    <w:next w:val="1141"/>
    <w:link w:val="730"/>
    <w:qFormat/>
    <w:pPr>
      <w:ind w:left="200" w:hanging="200"/>
    </w:pPr>
    <w:rPr>
      <w:rFonts w:ascii="Times New Roman" w:hAnsi="Times New Roman" w:eastAsia="宋体"/>
      <w:szCs w:val="21"/>
    </w:rPr>
  </w:style>
  <w:style w:type="paragraph" w:styleId="1142">
    <w:name w:val="目录 611"/>
    <w:basedOn w:val="730"/>
    <w:next w:val="730"/>
    <w:link w:val="730"/>
    <w:semiHidden/>
    <w:qFormat/>
    <w:pPr>
      <w:ind w:left="1050"/>
      <w:jc w:val="left"/>
    </w:pPr>
    <w:rPr>
      <w:rFonts w:ascii="Times New Roman" w:hAnsi="Times New Roman" w:eastAsia="宋体"/>
      <w:szCs w:val="21"/>
    </w:rPr>
  </w:style>
  <w:style w:type="paragraph" w:styleId="1143">
    <w:name w:val="正文文本缩进 31"/>
    <w:basedOn w:val="730"/>
    <w:next w:val="1143"/>
    <w:link w:val="1144"/>
    <w:qFormat/>
    <w:pPr>
      <w:ind w:left="645" w:firstLine="645"/>
    </w:pPr>
    <w:rPr>
      <w:rFonts w:ascii="Arial" w:hAnsi="Arial" w:eastAsia="仿宋_GB2312"/>
      <w:color w:val="ffff00"/>
      <w:sz w:val="32"/>
      <w:szCs w:val="32"/>
      <w:lang w:eastAsia="en-US"/>
    </w:rPr>
  </w:style>
  <w:style w:type="character" w:styleId="1144">
    <w:name w:val="正文文本缩进 3 Char"/>
    <w:next w:val="1144"/>
    <w:link w:val="1143"/>
    <w:qFormat/>
    <w:rPr>
      <w:rFonts w:ascii="Arial" w:hAnsi="Arial" w:eastAsia="仿宋_GB2312" w:cs="Times New Roman"/>
      <w:color w:val="ffff00"/>
      <w:sz w:val="32"/>
      <w:szCs w:val="32"/>
      <w:lang w:eastAsia="en-US"/>
    </w:rPr>
  </w:style>
  <w:style w:type="paragraph" w:styleId="1145">
    <w:name w:val="图表目录1"/>
    <w:basedOn w:val="730"/>
    <w:next w:val="730"/>
    <w:link w:val="730"/>
    <w:semiHidden/>
    <w:qFormat/>
    <w:pPr>
      <w:ind w:left="840" w:hanging="420"/>
    </w:pPr>
    <w:rPr>
      <w:rFonts w:ascii="Times New Roman" w:hAnsi="Times New Roman" w:eastAsia="宋体"/>
      <w:szCs w:val="21"/>
    </w:rPr>
  </w:style>
  <w:style w:type="paragraph" w:styleId="1146">
    <w:name w:val="目录 211"/>
    <w:basedOn w:val="730"/>
    <w:next w:val="730"/>
    <w:link w:val="730"/>
    <w:semiHidden/>
    <w:qFormat/>
    <w:pPr>
      <w:ind w:left="210"/>
      <w:jc w:val="left"/>
    </w:pPr>
    <w:rPr>
      <w:rFonts w:ascii="Times New Roman" w:hAnsi="Times New Roman" w:eastAsia="宋体"/>
      <w:smallCaps/>
      <w:szCs w:val="24"/>
    </w:rPr>
  </w:style>
  <w:style w:type="paragraph" w:styleId="1147">
    <w:name w:val="目录 911"/>
    <w:basedOn w:val="730"/>
    <w:next w:val="730"/>
    <w:link w:val="730"/>
    <w:semiHidden/>
    <w:qFormat/>
    <w:pPr>
      <w:ind w:left="1680"/>
      <w:jc w:val="left"/>
    </w:pPr>
    <w:rPr>
      <w:rFonts w:ascii="Times New Roman" w:hAnsi="Times New Roman" w:eastAsia="宋体"/>
      <w:szCs w:val="21"/>
    </w:rPr>
  </w:style>
  <w:style w:type="paragraph" w:styleId="1148">
    <w:name w:val="正文文本 21"/>
    <w:basedOn w:val="730"/>
    <w:next w:val="1148"/>
    <w:link w:val="1149"/>
    <w:qFormat/>
    <w:pPr>
      <w:jc w:val="center"/>
      <w:widowControl/>
    </w:pPr>
    <w:rPr>
      <w:rFonts w:ascii="楷体_GB2312" w:hAnsi="Times New Roman" w:eastAsia="楷体_GB2312"/>
      <w:sz w:val="28"/>
      <w:szCs w:val="28"/>
      <w:lang w:eastAsia="en-US"/>
    </w:rPr>
  </w:style>
  <w:style w:type="character" w:styleId="1149">
    <w:name w:val="正文文本 2 Char"/>
    <w:next w:val="1149"/>
    <w:link w:val="1148"/>
    <w:qFormat/>
    <w:rPr>
      <w:rFonts w:ascii="楷体_GB2312" w:hAnsi="Times New Roman" w:eastAsia="楷体_GB2312" w:cs="Times New Roman"/>
      <w:sz w:val="28"/>
      <w:szCs w:val="28"/>
      <w:lang w:eastAsia="en-US"/>
    </w:rPr>
  </w:style>
  <w:style w:type="paragraph" w:styleId="1150">
    <w:name w:val="普通(网站)1"/>
    <w:basedOn w:val="730"/>
    <w:next w:val="1150"/>
    <w:link w:val="730"/>
    <w:uiPriority w:val="99"/>
    <w:qFormat/>
    <w:pPr>
      <w:jc w:val="left"/>
      <w:spacing w:before="100" w:beforeAutospacing="1" w:after="100" w:afterAutospacing="1"/>
      <w:widowControl/>
    </w:pPr>
    <w:rPr>
      <w:rFonts w:ascii="宋体" w:hAnsi="宋体" w:eastAsia="宋体" w:cs="宋体"/>
      <w:sz w:val="24"/>
      <w:szCs w:val="24"/>
    </w:rPr>
  </w:style>
  <w:style w:type="paragraph" w:styleId="1151">
    <w:name w:val="索引 11"/>
    <w:basedOn w:val="730"/>
    <w:next w:val="730"/>
    <w:link w:val="730"/>
    <w:semiHidden/>
    <w:qFormat/>
    <w:pPr>
      <w:spacing w:line="240" w:lineRule="atLeast"/>
    </w:pPr>
    <w:rPr>
      <w:rFonts w:ascii="Times New Roman" w:hAnsi="Times New Roman" w:eastAsia="宋体"/>
      <w:b/>
      <w:bCs/>
      <w:szCs w:val="21"/>
    </w:rPr>
  </w:style>
  <w:style w:type="paragraph" w:styleId="1152">
    <w:name w:val="批注主题1"/>
    <w:basedOn w:val="1114"/>
    <w:next w:val="1114"/>
    <w:link w:val="1153"/>
    <w:semiHidden/>
    <w:qFormat/>
    <w:rPr>
      <w:b/>
      <w:bCs/>
    </w:rPr>
  </w:style>
  <w:style w:type="character" w:styleId="1153">
    <w:name w:val="批注主题 Char"/>
    <w:next w:val="1153"/>
    <w:link w:val="1152"/>
    <w:semiHidden/>
    <w:qFormat/>
    <w:rPr>
      <w:rFonts w:ascii="Times New Roman" w:hAnsi="Times New Roman" w:eastAsia="宋体" w:cs="Times New Roman"/>
      <w:b/>
      <w:bCs/>
      <w:szCs w:val="21"/>
      <w:lang w:eastAsia="en-US"/>
    </w:rPr>
  </w:style>
  <w:style w:type="paragraph" w:styleId="1154">
    <w:name w:val="正文首行缩进1"/>
    <w:basedOn w:val="730"/>
    <w:next w:val="1154"/>
    <w:link w:val="1155"/>
    <w:qFormat/>
    <w:pPr>
      <w:ind w:firstLine="200"/>
      <w:spacing w:line="360" w:lineRule="auto"/>
    </w:pPr>
    <w:rPr>
      <w:rFonts w:ascii="仿宋_GB2312" w:hAnsi="Times New Roman" w:eastAsia="仿宋_GB2312"/>
      <w:sz w:val="30"/>
      <w:szCs w:val="30"/>
      <w:lang w:eastAsia="en-US"/>
    </w:rPr>
  </w:style>
  <w:style w:type="character" w:styleId="1155">
    <w:name w:val="正文首行缩进 Char"/>
    <w:next w:val="1155"/>
    <w:link w:val="1154"/>
    <w:qFormat/>
    <w:rPr>
      <w:rFonts w:ascii="仿宋_GB2312" w:hAnsi="Times New Roman" w:eastAsia="仿宋_GB2312" w:cs="Times New Roman"/>
      <w:sz w:val="30"/>
      <w:szCs w:val="30"/>
      <w:lang w:eastAsia="en-US"/>
    </w:rPr>
  </w:style>
  <w:style w:type="paragraph" w:styleId="1156">
    <w:name w:val="正文首行缩进 21"/>
    <w:basedOn w:val="1120"/>
    <w:next w:val="730"/>
    <w:link w:val="1157"/>
    <w:qFormat/>
    <w:pPr>
      <w:ind w:firstLine="420"/>
      <w:spacing w:line="360" w:lineRule="auto"/>
    </w:pPr>
    <w:rPr>
      <w:rFonts w:ascii="宋体" w:hAnsi="宋体" w:eastAsia="宋体"/>
      <w:szCs w:val="20"/>
    </w:rPr>
  </w:style>
  <w:style w:type="character" w:styleId="1157">
    <w:name w:val="正文首行缩进 2 Char"/>
    <w:next w:val="1157"/>
    <w:link w:val="1156"/>
    <w:qFormat/>
    <w:rPr>
      <w:rFonts w:ascii="宋体" w:hAnsi="宋体" w:eastAsia="宋体" w:cs="Times New Roman"/>
      <w:sz w:val="32"/>
      <w:lang w:eastAsia="en-US"/>
    </w:rPr>
  </w:style>
  <w:style w:type="character" w:styleId="1158">
    <w:name w:val="要点1"/>
    <w:next w:val="1158"/>
    <w:link w:val="730"/>
    <w:qFormat/>
    <w:rPr>
      <w:b/>
      <w:bCs/>
    </w:rPr>
  </w:style>
  <w:style w:type="character" w:styleId="1159">
    <w:name w:val="页码1"/>
    <w:next w:val="1159"/>
    <w:link w:val="730"/>
    <w:qFormat/>
  </w:style>
  <w:style w:type="character" w:styleId="1160">
    <w:name w:val="已访问的超链接1"/>
    <w:next w:val="1160"/>
    <w:link w:val="730"/>
    <w:qFormat/>
    <w:rPr>
      <w:color w:val="800080"/>
      <w:u w:val="single"/>
    </w:rPr>
  </w:style>
  <w:style w:type="character" w:styleId="1161">
    <w:name w:val="HTML 打字机1"/>
    <w:next w:val="1161"/>
    <w:link w:val="730"/>
    <w:uiPriority w:val="99"/>
    <w:qFormat/>
    <w:rPr>
      <w:rFonts w:ascii="宋体" w:hAnsi="宋体" w:eastAsia="宋体" w:cs="宋体"/>
      <w:sz w:val="24"/>
      <w:szCs w:val="24"/>
    </w:rPr>
  </w:style>
  <w:style w:type="character" w:styleId="1162">
    <w:name w:val="超链接1"/>
    <w:next w:val="1162"/>
    <w:link w:val="730"/>
    <w:qFormat/>
    <w:rPr>
      <w:color w:val="0000ff"/>
      <w:u w:val="single"/>
    </w:rPr>
  </w:style>
  <w:style w:type="character" w:styleId="1163">
    <w:name w:val="二级目录 Char"/>
    <w:next w:val="1163"/>
    <w:link w:val="1164"/>
    <w:qFormat/>
    <w:rPr>
      <w:b/>
      <w:sz w:val="30"/>
      <w:szCs w:val="28"/>
    </w:rPr>
  </w:style>
  <w:style w:type="paragraph" w:styleId="1164">
    <w:name w:val="二级目录"/>
    <w:next w:val="730"/>
    <w:link w:val="1163"/>
    <w:qFormat/>
    <w:pPr>
      <w:numPr>
        <w:ilvl w:val="0"/>
        <w:numId w:val="4"/>
      </w:numPr>
      <w:tabs>
        <w:tab w:val="left" w:pos="907" w:leader="none"/>
        <w:tab w:val="left" w:pos="1145" w:leader="none"/>
      </w:tabs>
      <w:outlineLvl w:val="1"/>
    </w:pPr>
    <w:rPr>
      <w:rFonts w:ascii="Calibri" w:hAnsi="Calibri" w:eastAsia="Arial" w:cs="Times New Roman"/>
      <w:b/>
      <w:sz w:val="30"/>
      <w:szCs w:val="28"/>
      <w:lang w:val="en-US" w:eastAsia="zh-CN" w:bidi="ar-SA"/>
    </w:rPr>
  </w:style>
  <w:style w:type="paragraph" w:styleId="1165">
    <w:name w:val="Body Text(ch)"/>
    <w:basedOn w:val="730"/>
    <w:next w:val="1118"/>
    <w:link w:val="730"/>
    <w:qFormat/>
    <w:pPr>
      <w:spacing w:after="120"/>
    </w:pPr>
    <w:rPr>
      <w:rFonts w:ascii="宋体" w:hAnsi="Arial" w:eastAsia="宋体"/>
      <w:bCs/>
      <w:iCs/>
      <w:szCs w:val="24"/>
    </w:rPr>
  </w:style>
  <w:style w:type="paragraph" w:styleId="1166">
    <w:name w:val="Char"/>
    <w:basedOn w:val="730"/>
    <w:next w:val="1166"/>
    <w:link w:val="730"/>
    <w:qFormat/>
    <w:pPr>
      <w:ind w:firstLine="200"/>
      <w:tabs>
        <w:tab w:val="left" w:pos="360" w:leader="none"/>
      </w:tabs>
    </w:pPr>
    <w:rPr>
      <w:rFonts w:ascii="Times New Roman" w:hAnsi="Times New Roman" w:eastAsia="宋体"/>
      <w:sz w:val="28"/>
      <w:szCs w:val="30"/>
    </w:rPr>
  </w:style>
  <w:style w:type="paragraph" w:styleId="1167">
    <w:name w:val="普通正文"/>
    <w:basedOn w:val="730"/>
    <w:next w:val="1167"/>
    <w:link w:val="730"/>
    <w:qFormat/>
    <w:pPr>
      <w:ind w:firstLine="480"/>
      <w:jc w:val="left"/>
      <w:spacing w:before="120" w:after="120" w:line="360" w:lineRule="auto"/>
    </w:pPr>
    <w:rPr>
      <w:rFonts w:ascii="Arial" w:hAnsi="Arial" w:eastAsia="宋体"/>
      <w:sz w:val="24"/>
      <w:szCs w:val="24"/>
    </w:rPr>
  </w:style>
  <w:style w:type="paragraph" w:styleId="1168">
    <w:name w:val="table_lines"/>
    <w:basedOn w:val="730"/>
    <w:next w:val="1168"/>
    <w:link w:val="730"/>
    <w:qFormat/>
    <w:pPr>
      <w:jc w:val="left"/>
      <w:widowControl/>
    </w:pPr>
    <w:rPr>
      <w:rFonts w:ascii="Times New Roman" w:hAnsi="Times New Roman" w:eastAsia="宋体"/>
      <w:sz w:val="20"/>
      <w:szCs w:val="20"/>
      <w:lang w:val="de-DE" w:eastAsia="de-DE"/>
    </w:rPr>
  </w:style>
  <w:style w:type="paragraph" w:styleId="1169">
    <w:name w:val="附录1"/>
    <w:next w:val="1169"/>
    <w:link w:val="73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0">
    <w:name w:val="列出段落21"/>
    <w:basedOn w:val="730"/>
    <w:next w:val="1170"/>
    <w:link w:val="730"/>
    <w:uiPriority w:val="99"/>
    <w:qFormat/>
    <w:pPr>
      <w:contextualSpacing/>
      <w:ind w:left="720"/>
      <w:jc w:val="left"/>
      <w:widowControl/>
    </w:pPr>
    <w:rPr>
      <w:rFonts w:eastAsia="宋体"/>
      <w:sz w:val="24"/>
      <w:szCs w:val="24"/>
      <w:lang w:eastAsia="en-US" w:bidi="en-US"/>
    </w:rPr>
  </w:style>
  <w:style w:type="paragraph" w:styleId="1171">
    <w:name w:val="4"/>
    <w:basedOn w:val="730"/>
    <w:next w:val="1143"/>
    <w:link w:val="730"/>
    <w:qFormat/>
    <w:pPr>
      <w:ind w:firstLine="420"/>
      <w:spacing w:line="360" w:lineRule="auto"/>
    </w:pPr>
    <w:rPr>
      <w:rFonts w:ascii="Times New Roman" w:hAnsi="Times New Roman" w:eastAsia="宋体"/>
      <w:color w:val="ff0000"/>
      <w:sz w:val="24"/>
      <w:szCs w:val="24"/>
    </w:rPr>
  </w:style>
  <w:style w:type="paragraph" w:styleId="1172">
    <w:name w:val="普通 (Web)"/>
    <w:basedOn w:val="730"/>
    <w:next w:val="1172"/>
    <w:link w:val="730"/>
    <w:qFormat/>
    <w:pPr>
      <w:jc w:val="left"/>
      <w:spacing w:before="100" w:beforeAutospacing="1" w:after="100" w:afterAutospacing="1"/>
      <w:widowControl/>
    </w:pPr>
    <w:rPr>
      <w:rFonts w:ascii="宋体" w:hAnsi="宋体" w:eastAsia="宋体"/>
      <w:sz w:val="24"/>
      <w:szCs w:val="24"/>
    </w:rPr>
  </w:style>
  <w:style w:type="paragraph" w:styleId="1173">
    <w:name w:val="Char Char Char Char Char Char Char Char Char Char"/>
    <w:basedOn w:val="730"/>
    <w:next w:val="1173"/>
    <w:link w:val="730"/>
    <w:qFormat/>
    <w:pPr>
      <w:spacing w:line="360" w:lineRule="auto"/>
    </w:pPr>
    <w:rPr>
      <w:rFonts w:ascii="Times New Roman" w:hAnsi="Times New Roman" w:eastAsia="宋体"/>
      <w:sz w:val="24"/>
      <w:szCs w:val="20"/>
    </w:rPr>
  </w:style>
  <w:style w:type="paragraph" w:styleId="1174">
    <w:name w:val="样式1"/>
    <w:basedOn w:val="730"/>
    <w:next w:val="1174"/>
    <w:link w:val="730"/>
    <w:qFormat/>
    <w:pPr>
      <w:numPr>
        <w:ilvl w:val="0"/>
        <w:numId w:val="5"/>
      </w:numPr>
      <w:tabs>
        <w:tab w:val="left" w:pos="709" w:leader="none"/>
      </w:tabs>
    </w:pPr>
    <w:rPr>
      <w:rFonts w:ascii="宋体" w:hAnsi="宋体" w:eastAsia="宋体"/>
      <w:szCs w:val="21"/>
    </w:rPr>
  </w:style>
  <w:style w:type="paragraph" w:styleId="1175">
    <w:name w:val="图标"/>
    <w:basedOn w:val="730"/>
    <w:next w:val="730"/>
    <w:link w:val="73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6">
    <w:name w:val="标题3"/>
    <w:basedOn w:val="730"/>
    <w:next w:val="730"/>
    <w:link w:val="730"/>
    <w:qFormat/>
    <w:pPr>
      <w:ind w:firstLine="624"/>
      <w:spacing w:line="590" w:lineRule="atLeast"/>
    </w:pPr>
    <w:rPr>
      <w:rFonts w:ascii="方正黑体_GBK" w:hAnsi="Times New Roman" w:eastAsia="方正黑体_GBK"/>
      <w:sz w:val="32"/>
      <w:szCs w:val="32"/>
    </w:rPr>
  </w:style>
  <w:style w:type="paragraph" w:styleId="1177">
    <w:name w:val="Char Char Char Char Char Char Char Char"/>
    <w:basedOn w:val="730"/>
    <w:next w:val="1177"/>
    <w:link w:val="730"/>
    <w:qFormat/>
    <w:pPr>
      <w:jc w:val="left"/>
      <w:spacing w:after="160" w:line="240" w:lineRule="exact"/>
      <w:widowControl/>
    </w:pPr>
    <w:rPr>
      <w:rFonts w:ascii="Verdana" w:hAnsi="Verdana" w:eastAsia="宋体"/>
      <w:sz w:val="20"/>
      <w:szCs w:val="20"/>
      <w:lang w:eastAsia="en-US"/>
    </w:rPr>
  </w:style>
  <w:style w:type="paragraph" w:styleId="1178">
    <w:name w:val="table_1stline"/>
    <w:basedOn w:val="730"/>
    <w:next w:val="1178"/>
    <w:link w:val="730"/>
    <w:qFormat/>
    <w:pPr>
      <w:jc w:val="left"/>
      <w:spacing w:before="120"/>
      <w:widowControl/>
    </w:pPr>
    <w:rPr>
      <w:rFonts w:ascii="Times New Roman" w:hAnsi="Times New Roman" w:eastAsia="宋体"/>
      <w:bCs/>
      <w:sz w:val="20"/>
      <w:szCs w:val="20"/>
      <w:lang w:val="de-DE" w:eastAsia="de-DE"/>
    </w:rPr>
  </w:style>
  <w:style w:type="paragraph" w:styleId="1179">
    <w:name w:val="标题1"/>
    <w:basedOn w:val="730"/>
    <w:next w:val="730"/>
    <w:link w:val="73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0">
    <w:name w:val="修订2"/>
    <w:next w:val="1180"/>
    <w:link w:val="730"/>
    <w:uiPriority w:val="99"/>
    <w:semiHidden/>
    <w:qFormat/>
    <w:rPr>
      <w:rFonts w:ascii="Times New Roman" w:hAnsi="Times New Roman" w:eastAsia="宋体" w:cs="Times New Roman"/>
      <w:sz w:val="21"/>
      <w:szCs w:val="21"/>
      <w:lang w:val="en-US" w:eastAsia="zh-CN" w:bidi="ar-SA"/>
    </w:rPr>
  </w:style>
  <w:style w:type="paragraph" w:styleId="1181">
    <w:name w:val="无间隔1"/>
    <w:next w:val="1181"/>
    <w:link w:val="730"/>
    <w:uiPriority w:val="99"/>
    <w:qFormat/>
    <w:pPr>
      <w:jc w:val="both"/>
      <w:widowControl w:val="off"/>
    </w:pPr>
    <w:rPr>
      <w:rFonts w:ascii="Times New Roman" w:hAnsi="Times New Roman" w:eastAsia="宋体" w:cs="Times New Roman"/>
      <w:sz w:val="21"/>
      <w:szCs w:val="21"/>
      <w:lang w:val="en-US" w:eastAsia="zh-CN" w:bidi="ar-SA"/>
    </w:rPr>
  </w:style>
  <w:style w:type="paragraph" w:styleId="1182">
    <w:name w:val="目录 111"/>
    <w:basedOn w:val="730"/>
    <w:next w:val="730"/>
    <w:link w:val="730"/>
    <w:uiPriority w:val="39"/>
    <w:unhideWhenUsed/>
    <w:qFormat/>
    <w:pPr>
      <w:jc w:val="left"/>
      <w:spacing w:after="100" w:line="259" w:lineRule="auto"/>
      <w:widowControl/>
    </w:pPr>
    <w:rPr>
      <w:rFonts w:eastAsia="宋体"/>
      <w:sz w:val="22"/>
    </w:rPr>
  </w:style>
  <w:style w:type="table" w:styleId="1183">
    <w:name w:val="网格型5"/>
    <w:basedOn w:val="798"/>
    <w:next w:val="1183"/>
    <w:link w:val="730"/>
    <w:qFormat/>
    <w:pPr>
      <w:jc w:val="both"/>
      <w:widowControl w:val="off"/>
    </w:pPr>
    <w:tblPr/>
  </w:style>
  <w:style w:type="paragraph" w:styleId="1184">
    <w:name w:val="a0"/>
    <w:basedOn w:val="730"/>
    <w:next w:val="1184"/>
    <w:link w:val="730"/>
    <w:qFormat/>
    <w:pPr>
      <w:jc w:val="left"/>
      <w:spacing w:before="100" w:beforeAutospacing="1" w:after="100" w:afterAutospacing="1"/>
      <w:widowControl/>
    </w:pPr>
    <w:rPr>
      <w:rFonts w:ascii="宋体" w:hAnsi="宋体" w:cs="宋体"/>
    </w:rPr>
  </w:style>
  <w:style w:type="character" w:styleId="1185">
    <w:name w:val="NormalCharacter1"/>
    <w:next w:val="1185"/>
    <w:link w:val="730"/>
    <w:qFormat/>
  </w:style>
  <w:style w:type="paragraph" w:styleId="1186">
    <w:name w:val="_Style 1"/>
    <w:basedOn w:val="730"/>
    <w:next w:val="1186"/>
    <w:link w:val="730"/>
    <w:uiPriority w:val="34"/>
    <w:qFormat/>
    <w:pPr>
      <w:ind w:firstLine="420"/>
    </w:pPr>
  </w:style>
  <w:style w:type="paragraph" w:styleId="1187">
    <w:name w:val="UserStyle_0"/>
    <w:basedOn w:val="730"/>
    <w:next w:val="1187"/>
    <w:link w:val="730"/>
    <w:qFormat/>
    <w:pPr>
      <w:ind w:left="420" w:firstLine="420"/>
      <w:spacing w:after="120"/>
      <w:widowControl/>
    </w:pPr>
    <w:rPr>
      <w:rFonts w:ascii="Times New Roman" w:hAnsi="Times New Roman"/>
      <w:szCs w:val="20"/>
    </w:rPr>
  </w:style>
  <w:style w:type="paragraph" w:styleId="1188">
    <w:name w:val="UserStyle_87"/>
    <w:basedOn w:val="730"/>
    <w:next w:val="1188"/>
    <w:link w:val="730"/>
    <w:qFormat/>
    <w:pPr>
      <w:ind w:firstLine="420"/>
      <w:widowControl/>
    </w:pPr>
  </w:style>
  <w:style w:type="character" w:styleId="1189">
    <w:name w:val="UserStyle_88"/>
    <w:next w:val="1189"/>
    <w:link w:val="730"/>
    <w:qFormat/>
  </w:style>
  <w:style w:type="paragraph" w:styleId="1190">
    <w:name w:val="BodyText1I21"/>
    <w:basedOn w:val="730"/>
    <w:next w:val="1190"/>
    <w:link w:val="730"/>
    <w:qFormat/>
    <w:pPr>
      <w:ind w:left="420" w:firstLine="420"/>
      <w:spacing w:after="120"/>
    </w:pPr>
    <w:rPr>
      <w:rFonts w:ascii="Times New Roman" w:hAnsi="Times New Roman"/>
      <w:szCs w:val="20"/>
    </w:rPr>
  </w:style>
  <w:style w:type="paragraph" w:styleId="1191">
    <w:name w:val="Table Text"/>
    <w:basedOn w:val="730"/>
    <w:next w:val="1191"/>
    <w:link w:val="730"/>
    <w:semiHidden/>
    <w:qFormat/>
    <w:rPr>
      <w:rFonts w:ascii="宋体" w:hAnsi="宋体" w:eastAsia="宋体" w:cs="宋体"/>
      <w:sz w:val="24"/>
      <w:szCs w:val="24"/>
      <w:lang w:eastAsia="en-US"/>
    </w:rPr>
  </w:style>
  <w:style w:type="character" w:styleId="1192">
    <w:name w:val="font91"/>
    <w:basedOn w:val="740"/>
    <w:next w:val="1192"/>
    <w:link w:val="730"/>
    <w:qFormat/>
    <w:rPr>
      <w:rFonts w:hint="eastAsia" w:ascii="宋体" w:hAnsi="宋体" w:eastAsia="宋体" w:cs="宋体"/>
      <w:color w:val="000000"/>
      <w:sz w:val="20"/>
      <w:szCs w:val="20"/>
      <w:u w:val="none"/>
    </w:rPr>
  </w:style>
  <w:style w:type="character" w:styleId="1193">
    <w:name w:val="font41"/>
    <w:basedOn w:val="740"/>
    <w:next w:val="1193"/>
    <w:link w:val="730"/>
    <w:qFormat/>
    <w:rPr>
      <w:rFonts w:hint="eastAsia" w:ascii="宋体" w:hAnsi="宋体" w:eastAsia="宋体" w:cs="宋体"/>
      <w:color w:val="000000"/>
      <w:sz w:val="20"/>
      <w:szCs w:val="20"/>
      <w:u w:val="none"/>
    </w:rPr>
  </w:style>
  <w:style w:type="character" w:styleId="1194">
    <w:name w:val="font51"/>
    <w:basedOn w:val="740"/>
    <w:next w:val="1194"/>
    <w:link w:val="730"/>
    <w:qFormat/>
    <w:rPr>
      <w:rFonts w:ascii="仿宋_GB2312" w:eastAsia="仿宋_GB2312" w:cs="仿宋_GB2312"/>
      <w:color w:val="000000"/>
      <w:sz w:val="20"/>
      <w:szCs w:val="20"/>
      <w:u w:val="none"/>
    </w:rPr>
  </w:style>
  <w:style w:type="character" w:styleId="1195">
    <w:name w:val="font141"/>
    <w:basedOn w:val="740"/>
    <w:next w:val="1195"/>
    <w:link w:val="730"/>
    <w:qFormat/>
    <w:rPr>
      <w:rFonts w:ascii="仿宋_GB2312" w:eastAsia="仿宋_GB2312" w:cs="仿宋_GB2312"/>
      <w:b/>
      <w:bCs/>
      <w:color w:val="000000"/>
      <w:sz w:val="20"/>
      <w:szCs w:val="20"/>
      <w:u w:val="none"/>
    </w:rPr>
  </w:style>
  <w:style w:type="character" w:styleId="1196">
    <w:name w:val="font01"/>
    <w:basedOn w:val="740"/>
    <w:next w:val="1196"/>
    <w:link w:val="730"/>
    <w:qFormat/>
    <w:rPr>
      <w:rFonts w:hint="eastAsia" w:ascii="宋体" w:hAnsi="宋体" w:eastAsia="宋体" w:cs="宋体"/>
      <w:color w:val="000000"/>
      <w:sz w:val="22"/>
      <w:szCs w:val="22"/>
      <w:u w:val="none"/>
    </w:rPr>
  </w:style>
  <w:style w:type="character" w:styleId="1197">
    <w:name w:val="font61"/>
    <w:basedOn w:val="740"/>
    <w:next w:val="1197"/>
    <w:link w:val="730"/>
    <w:qFormat/>
    <w:rPr>
      <w:rFonts w:ascii="仿宋_GB2312" w:eastAsia="仿宋_GB2312" w:cs="仿宋_GB2312"/>
      <w:color w:val="000000"/>
      <w:sz w:val="20"/>
      <w:szCs w:val="20"/>
      <w:u w:val="none"/>
    </w:rPr>
  </w:style>
  <w:style w:type="character" w:styleId="1198">
    <w:name w:val="font151"/>
    <w:basedOn w:val="740"/>
    <w:next w:val="1198"/>
    <w:link w:val="730"/>
    <w:qFormat/>
    <w:rPr>
      <w:rFonts w:ascii="Arial" w:hAnsi="Arial" w:cs="Arial"/>
      <w:color w:val="000000"/>
      <w:sz w:val="20"/>
      <w:szCs w:val="20"/>
      <w:u w:val="none"/>
    </w:rPr>
  </w:style>
  <w:style w:type="character" w:styleId="1199">
    <w:name w:val="font31"/>
    <w:basedOn w:val="740"/>
    <w:next w:val="1199"/>
    <w:link w:val="730"/>
    <w:qFormat/>
    <w:rPr>
      <w:rFonts w:hint="eastAsia" w:ascii="仿宋" w:hAnsi="仿宋" w:eastAsia="仿宋" w:cs="仿宋"/>
      <w:color w:val="000000"/>
      <w:sz w:val="16"/>
      <w:szCs w:val="16"/>
      <w:u w:val="none"/>
    </w:rPr>
  </w:style>
  <w:style w:type="character" w:styleId="1200">
    <w:name w:val="font101"/>
    <w:basedOn w:val="740"/>
    <w:next w:val="1200"/>
    <w:link w:val="730"/>
    <w:qFormat/>
    <w:rPr>
      <w:rFonts w:hint="eastAsia" w:ascii="宋体" w:hAnsi="宋体" w:eastAsia="宋体" w:cs="宋体"/>
      <w:color w:val="000000"/>
      <w:sz w:val="18"/>
      <w:szCs w:val="18"/>
      <w:u w:val="none"/>
      <w:vertAlign w:val="subscript"/>
    </w:rPr>
  </w:style>
  <w:style w:type="character" w:styleId="1201">
    <w:name w:val="font71"/>
    <w:basedOn w:val="740"/>
    <w:next w:val="1201"/>
    <w:link w:val="730"/>
    <w:qFormat/>
    <w:rPr>
      <w:rFonts w:hint="eastAsia" w:ascii="宋体" w:hAnsi="宋体" w:eastAsia="宋体" w:cs="宋体"/>
      <w:color w:val="000000"/>
      <w:sz w:val="18"/>
      <w:szCs w:val="18"/>
      <w:u w:val="none"/>
    </w:rPr>
  </w:style>
  <w:style w:type="character" w:styleId="77387" w:default="1">
    <w:name w:val="Default Paragraph Font"/>
    <w:uiPriority w:val="1"/>
    <w:semiHidden/>
    <w:unhideWhenUsed/>
  </w:style>
  <w:style w:type="numbering" w:styleId="77388" w:default="1">
    <w:name w:val="No List"/>
    <w:uiPriority w:val="99"/>
    <w:semiHidden/>
    <w:unhideWhenUsed/>
  </w:style>
  <w:style w:type="table" w:styleId="77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2</cp:revision>
  <dcterms:created xsi:type="dcterms:W3CDTF">2024-04-28T03:01:00Z</dcterms:created>
  <dcterms:modified xsi:type="dcterms:W3CDTF">2026-03-02T05:41:10Z</dcterms:modified>
</cp:coreProperties>
</file>